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C7" w:rsidRPr="009A5334" w:rsidRDefault="009A5334" w:rsidP="009A5334">
      <w:pPr>
        <w:jc w:val="center"/>
        <w:rPr>
          <w:b/>
          <w:color w:val="4F6228" w:themeColor="accent3" w:themeShade="80"/>
          <w:sz w:val="72"/>
          <w:szCs w:val="72"/>
        </w:rPr>
      </w:pPr>
      <w:r w:rsidRPr="009A5334">
        <w:rPr>
          <w:b/>
          <w:color w:val="4F6228" w:themeColor="accent3" w:themeShade="80"/>
          <w:sz w:val="72"/>
          <w:szCs w:val="72"/>
        </w:rPr>
        <w:t>Tendring District Council</w:t>
      </w:r>
    </w:p>
    <w:p w:rsidR="009A5334" w:rsidRPr="009A5334" w:rsidRDefault="009A5334" w:rsidP="009A5334">
      <w:pPr>
        <w:jc w:val="center"/>
        <w:rPr>
          <w:b/>
          <w:sz w:val="36"/>
          <w:szCs w:val="36"/>
        </w:rPr>
      </w:pPr>
      <w:r w:rsidRPr="009A5334">
        <w:rPr>
          <w:b/>
          <w:sz w:val="36"/>
          <w:szCs w:val="36"/>
        </w:rPr>
        <w:t>Community</w:t>
      </w:r>
      <w:r w:rsidR="00C93603">
        <w:rPr>
          <w:b/>
          <w:sz w:val="36"/>
          <w:szCs w:val="36"/>
        </w:rPr>
        <w:t xml:space="preserve"> Asset</w:t>
      </w:r>
      <w:r w:rsidRPr="009A5334">
        <w:rPr>
          <w:b/>
          <w:sz w:val="36"/>
          <w:szCs w:val="36"/>
        </w:rPr>
        <w:t xml:space="preserve"> Transfer Policy</w:t>
      </w:r>
    </w:p>
    <w:p w:rsidR="009A5334" w:rsidRDefault="009A5334" w:rsidP="009A5334">
      <w:pPr>
        <w:jc w:val="center"/>
      </w:pPr>
    </w:p>
    <w:p w:rsidR="009A5334" w:rsidRDefault="00902FA1" w:rsidP="009A5334">
      <w:pPr>
        <w:jc w:val="center"/>
      </w:pPr>
      <w:r>
        <w:rPr>
          <w:noProof/>
          <w:lang w:eastAsia="en-GB"/>
        </w:rPr>
        <w:drawing>
          <wp:inline distT="0" distB="0" distL="0" distR="0" wp14:anchorId="09415123" wp14:editId="29D264E3">
            <wp:extent cx="3686021" cy="4486275"/>
            <wp:effectExtent l="0" t="0" r="0" b="0"/>
            <wp:docPr id="1" name="Picture 1" descr="C:\Users\AWhite\AppData\Local\Microsoft\Windows\Temporary Internet Files\Content.IE5\NP06TKYA\MC90005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hite\AppData\Local\Microsoft\Windows\Temporary Internet Files\Content.IE5\NP06TKYA\MC90005333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6021" cy="4486275"/>
                    </a:xfrm>
                    <a:prstGeom prst="rect">
                      <a:avLst/>
                    </a:prstGeom>
                    <a:noFill/>
                    <a:ln>
                      <a:noFill/>
                    </a:ln>
                  </pic:spPr>
                </pic:pic>
              </a:graphicData>
            </a:graphic>
          </wp:inline>
        </w:drawing>
      </w:r>
    </w:p>
    <w:p w:rsidR="009A5334" w:rsidRDefault="009A5334" w:rsidP="009A5334">
      <w:pPr>
        <w:jc w:val="center"/>
      </w:pPr>
    </w:p>
    <w:p w:rsidR="009A5334" w:rsidRDefault="009A5334" w:rsidP="009A5334">
      <w:pPr>
        <w:jc w:val="center"/>
      </w:pPr>
    </w:p>
    <w:p w:rsidR="007459C2" w:rsidRDefault="007459C2" w:rsidP="009A5334">
      <w:pPr>
        <w:jc w:val="center"/>
      </w:pPr>
    </w:p>
    <w:p w:rsidR="007459C2" w:rsidRDefault="007459C2" w:rsidP="009A5334">
      <w:pPr>
        <w:jc w:val="center"/>
      </w:pPr>
    </w:p>
    <w:p w:rsidR="007459C2" w:rsidRDefault="007459C2" w:rsidP="009A5334">
      <w:pPr>
        <w:jc w:val="center"/>
      </w:pPr>
    </w:p>
    <w:p w:rsidR="007459C2" w:rsidRDefault="007459C2" w:rsidP="009A5334">
      <w:pPr>
        <w:jc w:val="center"/>
      </w:pPr>
    </w:p>
    <w:p w:rsidR="009A5334" w:rsidRDefault="007459C2" w:rsidP="007459C2">
      <w:pPr>
        <w:spacing w:after="0"/>
        <w:jc w:val="center"/>
      </w:pPr>
      <w:r>
        <w:t>Martyn Knappett</w:t>
      </w:r>
    </w:p>
    <w:p w:rsidR="009A5334" w:rsidRDefault="009A5334" w:rsidP="007459C2">
      <w:pPr>
        <w:spacing w:after="0"/>
        <w:jc w:val="center"/>
      </w:pPr>
      <w:r>
        <w:t>Corporate Director (Corporate Services)</w:t>
      </w:r>
    </w:p>
    <w:p w:rsidR="007459C2" w:rsidRDefault="00A7194F" w:rsidP="007459C2">
      <w:pPr>
        <w:spacing w:after="0"/>
        <w:jc w:val="center"/>
      </w:pPr>
      <w:r>
        <w:t>June</w:t>
      </w:r>
      <w:r w:rsidR="007459C2">
        <w:t xml:space="preserve"> 2014</w:t>
      </w:r>
    </w:p>
    <w:p w:rsidR="001B0203" w:rsidRDefault="001B0203" w:rsidP="007459C2">
      <w:pPr>
        <w:spacing w:after="0"/>
        <w:jc w:val="center"/>
      </w:pPr>
      <w:bookmarkStart w:id="0" w:name="_GoBack"/>
      <w:bookmarkEnd w:id="0"/>
    </w:p>
    <w:sdt>
      <w:sdtPr>
        <w:rPr>
          <w:rFonts w:asciiTheme="minorHAnsi" w:eastAsiaTheme="minorHAnsi" w:hAnsiTheme="minorHAnsi" w:cstheme="minorBidi"/>
          <w:b w:val="0"/>
          <w:bCs w:val="0"/>
          <w:color w:val="auto"/>
          <w:sz w:val="22"/>
          <w:szCs w:val="22"/>
          <w:lang w:val="en-GB" w:eastAsia="en-US"/>
        </w:rPr>
        <w:id w:val="-201172577"/>
        <w:docPartObj>
          <w:docPartGallery w:val="Table of Contents"/>
          <w:docPartUnique/>
        </w:docPartObj>
      </w:sdtPr>
      <w:sdtEndPr>
        <w:rPr>
          <w:rFonts w:ascii="Arial" w:hAnsi="Arial"/>
          <w:noProof/>
          <w:sz w:val="24"/>
        </w:rPr>
      </w:sdtEndPr>
      <w:sdtContent>
        <w:p w:rsidR="009F2936" w:rsidRDefault="009F2936">
          <w:pPr>
            <w:pStyle w:val="TOCHeading"/>
          </w:pPr>
          <w:r>
            <w:t>Contents</w:t>
          </w:r>
        </w:p>
        <w:p w:rsidR="005C761D" w:rsidRDefault="009F2936">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386181456" w:history="1">
            <w:r w:rsidR="005C761D" w:rsidRPr="00C67999">
              <w:rPr>
                <w:rStyle w:val="Hyperlink"/>
                <w:noProof/>
              </w:rPr>
              <w:t>Purpose</w:t>
            </w:r>
            <w:r w:rsidR="005C761D">
              <w:rPr>
                <w:noProof/>
                <w:webHidden/>
              </w:rPr>
              <w:tab/>
            </w:r>
            <w:r w:rsidR="005C761D">
              <w:rPr>
                <w:noProof/>
                <w:webHidden/>
              </w:rPr>
              <w:fldChar w:fldCharType="begin"/>
            </w:r>
            <w:r w:rsidR="005C761D">
              <w:rPr>
                <w:noProof/>
                <w:webHidden/>
              </w:rPr>
              <w:instrText xml:space="preserve"> PAGEREF _Toc386181456 \h </w:instrText>
            </w:r>
            <w:r w:rsidR="005C761D">
              <w:rPr>
                <w:noProof/>
                <w:webHidden/>
              </w:rPr>
            </w:r>
            <w:r w:rsidR="005C761D">
              <w:rPr>
                <w:noProof/>
                <w:webHidden/>
              </w:rPr>
              <w:fldChar w:fldCharType="separate"/>
            </w:r>
            <w:r w:rsidR="005C761D">
              <w:rPr>
                <w:noProof/>
                <w:webHidden/>
              </w:rPr>
              <w:t>3</w:t>
            </w:r>
            <w:r w:rsidR="005C761D">
              <w:rPr>
                <w:noProof/>
                <w:webHidden/>
              </w:rPr>
              <w:fldChar w:fldCharType="end"/>
            </w:r>
          </w:hyperlink>
        </w:p>
        <w:p w:rsidR="005C761D" w:rsidRDefault="001B0203">
          <w:pPr>
            <w:pStyle w:val="TOC1"/>
            <w:tabs>
              <w:tab w:val="right" w:leader="dot" w:pos="9016"/>
            </w:tabs>
            <w:rPr>
              <w:rFonts w:asciiTheme="minorHAnsi" w:eastAsiaTheme="minorEastAsia" w:hAnsiTheme="minorHAnsi"/>
              <w:noProof/>
              <w:sz w:val="22"/>
              <w:lang w:eastAsia="en-GB"/>
            </w:rPr>
          </w:pPr>
          <w:hyperlink w:anchor="_Toc386181457" w:history="1">
            <w:r w:rsidR="005C761D" w:rsidRPr="00C67999">
              <w:rPr>
                <w:rStyle w:val="Hyperlink"/>
                <w:noProof/>
              </w:rPr>
              <w:t>Definitions</w:t>
            </w:r>
            <w:r w:rsidR="005C761D">
              <w:rPr>
                <w:noProof/>
                <w:webHidden/>
              </w:rPr>
              <w:tab/>
            </w:r>
            <w:r w:rsidR="005C761D">
              <w:rPr>
                <w:noProof/>
                <w:webHidden/>
              </w:rPr>
              <w:fldChar w:fldCharType="begin"/>
            </w:r>
            <w:r w:rsidR="005C761D">
              <w:rPr>
                <w:noProof/>
                <w:webHidden/>
              </w:rPr>
              <w:instrText xml:space="preserve"> PAGEREF _Toc386181457 \h </w:instrText>
            </w:r>
            <w:r w:rsidR="005C761D">
              <w:rPr>
                <w:noProof/>
                <w:webHidden/>
              </w:rPr>
            </w:r>
            <w:r w:rsidR="005C761D">
              <w:rPr>
                <w:noProof/>
                <w:webHidden/>
              </w:rPr>
              <w:fldChar w:fldCharType="separate"/>
            </w:r>
            <w:r w:rsidR="005C761D">
              <w:rPr>
                <w:noProof/>
                <w:webHidden/>
              </w:rPr>
              <w:t>3</w:t>
            </w:r>
            <w:r w:rsidR="005C761D">
              <w:rPr>
                <w:noProof/>
                <w:webHidden/>
              </w:rPr>
              <w:fldChar w:fldCharType="end"/>
            </w:r>
          </w:hyperlink>
        </w:p>
        <w:p w:rsidR="005C761D" w:rsidRDefault="001B0203">
          <w:pPr>
            <w:pStyle w:val="TOC2"/>
            <w:tabs>
              <w:tab w:val="right" w:leader="dot" w:pos="9016"/>
            </w:tabs>
            <w:rPr>
              <w:rFonts w:asciiTheme="minorHAnsi" w:eastAsiaTheme="minorEastAsia" w:hAnsiTheme="minorHAnsi"/>
              <w:noProof/>
              <w:sz w:val="22"/>
              <w:lang w:eastAsia="en-GB"/>
            </w:rPr>
          </w:pPr>
          <w:hyperlink w:anchor="_Toc386181458" w:history="1">
            <w:r w:rsidR="005C761D" w:rsidRPr="00C67999">
              <w:rPr>
                <w:rStyle w:val="Hyperlink"/>
                <w:noProof/>
              </w:rPr>
              <w:t>Community</w:t>
            </w:r>
            <w:r w:rsidR="005C761D">
              <w:rPr>
                <w:noProof/>
                <w:webHidden/>
              </w:rPr>
              <w:tab/>
            </w:r>
            <w:r w:rsidR="005C761D">
              <w:rPr>
                <w:noProof/>
                <w:webHidden/>
              </w:rPr>
              <w:fldChar w:fldCharType="begin"/>
            </w:r>
            <w:r w:rsidR="005C761D">
              <w:rPr>
                <w:noProof/>
                <w:webHidden/>
              </w:rPr>
              <w:instrText xml:space="preserve"> PAGEREF _Toc386181458 \h </w:instrText>
            </w:r>
            <w:r w:rsidR="005C761D">
              <w:rPr>
                <w:noProof/>
                <w:webHidden/>
              </w:rPr>
            </w:r>
            <w:r w:rsidR="005C761D">
              <w:rPr>
                <w:noProof/>
                <w:webHidden/>
              </w:rPr>
              <w:fldChar w:fldCharType="separate"/>
            </w:r>
            <w:r w:rsidR="005C761D">
              <w:rPr>
                <w:noProof/>
                <w:webHidden/>
              </w:rPr>
              <w:t>3</w:t>
            </w:r>
            <w:r w:rsidR="005C761D">
              <w:rPr>
                <w:noProof/>
                <w:webHidden/>
              </w:rPr>
              <w:fldChar w:fldCharType="end"/>
            </w:r>
          </w:hyperlink>
        </w:p>
        <w:p w:rsidR="005C761D" w:rsidRDefault="001B0203">
          <w:pPr>
            <w:pStyle w:val="TOC2"/>
            <w:tabs>
              <w:tab w:val="right" w:leader="dot" w:pos="9016"/>
            </w:tabs>
            <w:rPr>
              <w:rFonts w:asciiTheme="minorHAnsi" w:eastAsiaTheme="minorEastAsia" w:hAnsiTheme="minorHAnsi"/>
              <w:noProof/>
              <w:sz w:val="22"/>
              <w:lang w:eastAsia="en-GB"/>
            </w:rPr>
          </w:pPr>
          <w:hyperlink w:anchor="_Toc386181459" w:history="1">
            <w:r w:rsidR="005C761D" w:rsidRPr="00C67999">
              <w:rPr>
                <w:rStyle w:val="Hyperlink"/>
                <w:noProof/>
              </w:rPr>
              <w:t>Asset</w:t>
            </w:r>
            <w:r w:rsidR="005C761D">
              <w:rPr>
                <w:noProof/>
                <w:webHidden/>
              </w:rPr>
              <w:tab/>
            </w:r>
            <w:r w:rsidR="005C761D">
              <w:rPr>
                <w:noProof/>
                <w:webHidden/>
              </w:rPr>
              <w:fldChar w:fldCharType="begin"/>
            </w:r>
            <w:r w:rsidR="005C761D">
              <w:rPr>
                <w:noProof/>
                <w:webHidden/>
              </w:rPr>
              <w:instrText xml:space="preserve"> PAGEREF _Toc386181459 \h </w:instrText>
            </w:r>
            <w:r w:rsidR="005C761D">
              <w:rPr>
                <w:noProof/>
                <w:webHidden/>
              </w:rPr>
            </w:r>
            <w:r w:rsidR="005C761D">
              <w:rPr>
                <w:noProof/>
                <w:webHidden/>
              </w:rPr>
              <w:fldChar w:fldCharType="separate"/>
            </w:r>
            <w:r w:rsidR="005C761D">
              <w:rPr>
                <w:noProof/>
                <w:webHidden/>
              </w:rPr>
              <w:t>3</w:t>
            </w:r>
            <w:r w:rsidR="005C761D">
              <w:rPr>
                <w:noProof/>
                <w:webHidden/>
              </w:rPr>
              <w:fldChar w:fldCharType="end"/>
            </w:r>
          </w:hyperlink>
        </w:p>
        <w:p w:rsidR="005C761D" w:rsidRDefault="001B0203">
          <w:pPr>
            <w:pStyle w:val="TOC2"/>
            <w:tabs>
              <w:tab w:val="right" w:leader="dot" w:pos="9016"/>
            </w:tabs>
            <w:rPr>
              <w:rFonts w:asciiTheme="minorHAnsi" w:eastAsiaTheme="minorEastAsia" w:hAnsiTheme="minorHAnsi"/>
              <w:noProof/>
              <w:sz w:val="22"/>
              <w:lang w:eastAsia="en-GB"/>
            </w:rPr>
          </w:pPr>
          <w:hyperlink w:anchor="_Toc386181460" w:history="1">
            <w:r w:rsidR="005C761D" w:rsidRPr="00C67999">
              <w:rPr>
                <w:rStyle w:val="Hyperlink"/>
                <w:noProof/>
              </w:rPr>
              <w:t>Transfer</w:t>
            </w:r>
            <w:r w:rsidR="005C761D">
              <w:rPr>
                <w:noProof/>
                <w:webHidden/>
              </w:rPr>
              <w:tab/>
            </w:r>
            <w:r w:rsidR="005C761D">
              <w:rPr>
                <w:noProof/>
                <w:webHidden/>
              </w:rPr>
              <w:fldChar w:fldCharType="begin"/>
            </w:r>
            <w:r w:rsidR="005C761D">
              <w:rPr>
                <w:noProof/>
                <w:webHidden/>
              </w:rPr>
              <w:instrText xml:space="preserve"> PAGEREF _Toc386181460 \h </w:instrText>
            </w:r>
            <w:r w:rsidR="005C761D">
              <w:rPr>
                <w:noProof/>
                <w:webHidden/>
              </w:rPr>
            </w:r>
            <w:r w:rsidR="005C761D">
              <w:rPr>
                <w:noProof/>
                <w:webHidden/>
              </w:rPr>
              <w:fldChar w:fldCharType="separate"/>
            </w:r>
            <w:r w:rsidR="005C761D">
              <w:rPr>
                <w:noProof/>
                <w:webHidden/>
              </w:rPr>
              <w:t>3</w:t>
            </w:r>
            <w:r w:rsidR="005C761D">
              <w:rPr>
                <w:noProof/>
                <w:webHidden/>
              </w:rPr>
              <w:fldChar w:fldCharType="end"/>
            </w:r>
          </w:hyperlink>
        </w:p>
        <w:p w:rsidR="005C761D" w:rsidRDefault="001B0203">
          <w:pPr>
            <w:pStyle w:val="TOC1"/>
            <w:tabs>
              <w:tab w:val="right" w:leader="dot" w:pos="9016"/>
            </w:tabs>
            <w:rPr>
              <w:rFonts w:asciiTheme="minorHAnsi" w:eastAsiaTheme="minorEastAsia" w:hAnsiTheme="minorHAnsi"/>
              <w:noProof/>
              <w:sz w:val="22"/>
              <w:lang w:eastAsia="en-GB"/>
            </w:rPr>
          </w:pPr>
          <w:hyperlink w:anchor="_Toc386181461" w:history="1">
            <w:r w:rsidR="005C761D" w:rsidRPr="00C67999">
              <w:rPr>
                <w:rStyle w:val="Hyperlink"/>
                <w:noProof/>
              </w:rPr>
              <w:t>Legal Basis</w:t>
            </w:r>
            <w:r w:rsidR="005C761D">
              <w:rPr>
                <w:noProof/>
                <w:webHidden/>
              </w:rPr>
              <w:tab/>
            </w:r>
            <w:r w:rsidR="005C761D">
              <w:rPr>
                <w:noProof/>
                <w:webHidden/>
              </w:rPr>
              <w:fldChar w:fldCharType="begin"/>
            </w:r>
            <w:r w:rsidR="005C761D">
              <w:rPr>
                <w:noProof/>
                <w:webHidden/>
              </w:rPr>
              <w:instrText xml:space="preserve"> PAGEREF _Toc386181461 \h </w:instrText>
            </w:r>
            <w:r w:rsidR="005C761D">
              <w:rPr>
                <w:noProof/>
                <w:webHidden/>
              </w:rPr>
            </w:r>
            <w:r w:rsidR="005C761D">
              <w:rPr>
                <w:noProof/>
                <w:webHidden/>
              </w:rPr>
              <w:fldChar w:fldCharType="separate"/>
            </w:r>
            <w:r w:rsidR="005C761D">
              <w:rPr>
                <w:noProof/>
                <w:webHidden/>
              </w:rPr>
              <w:t>4</w:t>
            </w:r>
            <w:r w:rsidR="005C761D">
              <w:rPr>
                <w:noProof/>
                <w:webHidden/>
              </w:rPr>
              <w:fldChar w:fldCharType="end"/>
            </w:r>
          </w:hyperlink>
        </w:p>
        <w:p w:rsidR="005C761D" w:rsidRDefault="001B0203">
          <w:pPr>
            <w:pStyle w:val="TOC1"/>
            <w:tabs>
              <w:tab w:val="right" w:leader="dot" w:pos="9016"/>
            </w:tabs>
            <w:rPr>
              <w:rFonts w:asciiTheme="minorHAnsi" w:eastAsiaTheme="minorEastAsia" w:hAnsiTheme="minorHAnsi"/>
              <w:noProof/>
              <w:sz w:val="22"/>
              <w:lang w:eastAsia="en-GB"/>
            </w:rPr>
          </w:pPr>
          <w:hyperlink w:anchor="_Toc386181462" w:history="1">
            <w:r w:rsidR="005C761D" w:rsidRPr="00C67999">
              <w:rPr>
                <w:rStyle w:val="Hyperlink"/>
                <w:noProof/>
              </w:rPr>
              <w:t>Fiduciary Duty</w:t>
            </w:r>
            <w:r w:rsidR="005C761D">
              <w:rPr>
                <w:noProof/>
                <w:webHidden/>
              </w:rPr>
              <w:tab/>
            </w:r>
            <w:r w:rsidR="005C761D">
              <w:rPr>
                <w:noProof/>
                <w:webHidden/>
              </w:rPr>
              <w:fldChar w:fldCharType="begin"/>
            </w:r>
            <w:r w:rsidR="005C761D">
              <w:rPr>
                <w:noProof/>
                <w:webHidden/>
              </w:rPr>
              <w:instrText xml:space="preserve"> PAGEREF _Toc386181462 \h </w:instrText>
            </w:r>
            <w:r w:rsidR="005C761D">
              <w:rPr>
                <w:noProof/>
                <w:webHidden/>
              </w:rPr>
            </w:r>
            <w:r w:rsidR="005C761D">
              <w:rPr>
                <w:noProof/>
                <w:webHidden/>
              </w:rPr>
              <w:fldChar w:fldCharType="separate"/>
            </w:r>
            <w:r w:rsidR="005C761D">
              <w:rPr>
                <w:noProof/>
                <w:webHidden/>
              </w:rPr>
              <w:t>5</w:t>
            </w:r>
            <w:r w:rsidR="005C761D">
              <w:rPr>
                <w:noProof/>
                <w:webHidden/>
              </w:rPr>
              <w:fldChar w:fldCharType="end"/>
            </w:r>
          </w:hyperlink>
        </w:p>
        <w:p w:rsidR="005C761D" w:rsidRDefault="001B0203">
          <w:pPr>
            <w:pStyle w:val="TOC1"/>
            <w:tabs>
              <w:tab w:val="right" w:leader="dot" w:pos="9016"/>
            </w:tabs>
            <w:rPr>
              <w:rFonts w:asciiTheme="minorHAnsi" w:eastAsiaTheme="minorEastAsia" w:hAnsiTheme="minorHAnsi"/>
              <w:noProof/>
              <w:sz w:val="22"/>
              <w:lang w:eastAsia="en-GB"/>
            </w:rPr>
          </w:pPr>
          <w:hyperlink w:anchor="_Toc386181463" w:history="1">
            <w:r w:rsidR="005C761D" w:rsidRPr="00C67999">
              <w:rPr>
                <w:rStyle w:val="Hyperlink"/>
                <w:noProof/>
              </w:rPr>
              <w:t>CAROS</w:t>
            </w:r>
            <w:r w:rsidR="005C761D">
              <w:rPr>
                <w:noProof/>
                <w:webHidden/>
              </w:rPr>
              <w:tab/>
            </w:r>
            <w:r w:rsidR="005C761D">
              <w:rPr>
                <w:noProof/>
                <w:webHidden/>
              </w:rPr>
              <w:fldChar w:fldCharType="begin"/>
            </w:r>
            <w:r w:rsidR="005C761D">
              <w:rPr>
                <w:noProof/>
                <w:webHidden/>
              </w:rPr>
              <w:instrText xml:space="preserve"> PAGEREF _Toc386181463 \h </w:instrText>
            </w:r>
            <w:r w:rsidR="005C761D">
              <w:rPr>
                <w:noProof/>
                <w:webHidden/>
              </w:rPr>
            </w:r>
            <w:r w:rsidR="005C761D">
              <w:rPr>
                <w:noProof/>
                <w:webHidden/>
              </w:rPr>
              <w:fldChar w:fldCharType="separate"/>
            </w:r>
            <w:r w:rsidR="005C761D">
              <w:rPr>
                <w:noProof/>
                <w:webHidden/>
              </w:rPr>
              <w:t>5</w:t>
            </w:r>
            <w:r w:rsidR="005C761D">
              <w:rPr>
                <w:noProof/>
                <w:webHidden/>
              </w:rPr>
              <w:fldChar w:fldCharType="end"/>
            </w:r>
          </w:hyperlink>
        </w:p>
        <w:p w:rsidR="005C761D" w:rsidRDefault="001B0203">
          <w:pPr>
            <w:pStyle w:val="TOC1"/>
            <w:tabs>
              <w:tab w:val="right" w:leader="dot" w:pos="9016"/>
            </w:tabs>
            <w:rPr>
              <w:rFonts w:asciiTheme="minorHAnsi" w:eastAsiaTheme="minorEastAsia" w:hAnsiTheme="minorHAnsi"/>
              <w:noProof/>
              <w:sz w:val="22"/>
              <w:lang w:eastAsia="en-GB"/>
            </w:rPr>
          </w:pPr>
          <w:hyperlink w:anchor="_Toc386181464" w:history="1">
            <w:r w:rsidR="005C761D" w:rsidRPr="00C67999">
              <w:rPr>
                <w:rStyle w:val="Hyperlink"/>
                <w:noProof/>
              </w:rPr>
              <w:t>Degrees of Transfer</w:t>
            </w:r>
            <w:r w:rsidR="005C761D">
              <w:rPr>
                <w:noProof/>
                <w:webHidden/>
              </w:rPr>
              <w:tab/>
            </w:r>
            <w:r w:rsidR="005C761D">
              <w:rPr>
                <w:noProof/>
                <w:webHidden/>
              </w:rPr>
              <w:fldChar w:fldCharType="begin"/>
            </w:r>
            <w:r w:rsidR="005C761D">
              <w:rPr>
                <w:noProof/>
                <w:webHidden/>
              </w:rPr>
              <w:instrText xml:space="preserve"> PAGEREF _Toc386181464 \h </w:instrText>
            </w:r>
            <w:r w:rsidR="005C761D">
              <w:rPr>
                <w:noProof/>
                <w:webHidden/>
              </w:rPr>
            </w:r>
            <w:r w:rsidR="005C761D">
              <w:rPr>
                <w:noProof/>
                <w:webHidden/>
              </w:rPr>
              <w:fldChar w:fldCharType="separate"/>
            </w:r>
            <w:r w:rsidR="005C761D">
              <w:rPr>
                <w:noProof/>
                <w:webHidden/>
              </w:rPr>
              <w:t>5</w:t>
            </w:r>
            <w:r w:rsidR="005C761D">
              <w:rPr>
                <w:noProof/>
                <w:webHidden/>
              </w:rPr>
              <w:fldChar w:fldCharType="end"/>
            </w:r>
          </w:hyperlink>
        </w:p>
        <w:p w:rsidR="005C761D" w:rsidRDefault="001B0203">
          <w:pPr>
            <w:pStyle w:val="TOC1"/>
            <w:tabs>
              <w:tab w:val="right" w:leader="dot" w:pos="9016"/>
            </w:tabs>
            <w:rPr>
              <w:rFonts w:asciiTheme="minorHAnsi" w:eastAsiaTheme="minorEastAsia" w:hAnsiTheme="minorHAnsi"/>
              <w:noProof/>
              <w:sz w:val="22"/>
              <w:lang w:eastAsia="en-GB"/>
            </w:rPr>
          </w:pPr>
          <w:hyperlink w:anchor="_Toc386181465" w:history="1">
            <w:r w:rsidR="005C761D" w:rsidRPr="00C67999">
              <w:rPr>
                <w:rStyle w:val="Hyperlink"/>
                <w:noProof/>
              </w:rPr>
              <w:t>Requirements</w:t>
            </w:r>
            <w:r w:rsidR="005C761D">
              <w:rPr>
                <w:noProof/>
                <w:webHidden/>
              </w:rPr>
              <w:tab/>
            </w:r>
            <w:r w:rsidR="005C761D">
              <w:rPr>
                <w:noProof/>
                <w:webHidden/>
              </w:rPr>
              <w:fldChar w:fldCharType="begin"/>
            </w:r>
            <w:r w:rsidR="005C761D">
              <w:rPr>
                <w:noProof/>
                <w:webHidden/>
              </w:rPr>
              <w:instrText xml:space="preserve"> PAGEREF _Toc386181465 \h </w:instrText>
            </w:r>
            <w:r w:rsidR="005C761D">
              <w:rPr>
                <w:noProof/>
                <w:webHidden/>
              </w:rPr>
            </w:r>
            <w:r w:rsidR="005C761D">
              <w:rPr>
                <w:noProof/>
                <w:webHidden/>
              </w:rPr>
              <w:fldChar w:fldCharType="separate"/>
            </w:r>
            <w:r w:rsidR="005C761D">
              <w:rPr>
                <w:noProof/>
                <w:webHidden/>
              </w:rPr>
              <w:t>7</w:t>
            </w:r>
            <w:r w:rsidR="005C761D">
              <w:rPr>
                <w:noProof/>
                <w:webHidden/>
              </w:rPr>
              <w:fldChar w:fldCharType="end"/>
            </w:r>
          </w:hyperlink>
        </w:p>
        <w:p w:rsidR="005C761D" w:rsidRDefault="001B0203">
          <w:pPr>
            <w:pStyle w:val="TOC1"/>
            <w:tabs>
              <w:tab w:val="right" w:leader="dot" w:pos="9016"/>
            </w:tabs>
            <w:rPr>
              <w:rFonts w:asciiTheme="minorHAnsi" w:eastAsiaTheme="minorEastAsia" w:hAnsiTheme="minorHAnsi"/>
              <w:noProof/>
              <w:sz w:val="22"/>
              <w:lang w:eastAsia="en-GB"/>
            </w:rPr>
          </w:pPr>
          <w:hyperlink w:anchor="_Toc386181466" w:history="1">
            <w:r w:rsidR="005C761D" w:rsidRPr="00C67999">
              <w:rPr>
                <w:rStyle w:val="Hyperlink"/>
                <w:noProof/>
              </w:rPr>
              <w:t>Limiting Factors</w:t>
            </w:r>
            <w:r w:rsidR="005C761D">
              <w:rPr>
                <w:noProof/>
                <w:webHidden/>
              </w:rPr>
              <w:tab/>
            </w:r>
            <w:r w:rsidR="005C761D">
              <w:rPr>
                <w:noProof/>
                <w:webHidden/>
              </w:rPr>
              <w:fldChar w:fldCharType="begin"/>
            </w:r>
            <w:r w:rsidR="005C761D">
              <w:rPr>
                <w:noProof/>
                <w:webHidden/>
              </w:rPr>
              <w:instrText xml:space="preserve"> PAGEREF _Toc386181466 \h </w:instrText>
            </w:r>
            <w:r w:rsidR="005C761D">
              <w:rPr>
                <w:noProof/>
                <w:webHidden/>
              </w:rPr>
            </w:r>
            <w:r w:rsidR="005C761D">
              <w:rPr>
                <w:noProof/>
                <w:webHidden/>
              </w:rPr>
              <w:fldChar w:fldCharType="separate"/>
            </w:r>
            <w:r w:rsidR="005C761D">
              <w:rPr>
                <w:noProof/>
                <w:webHidden/>
              </w:rPr>
              <w:t>7</w:t>
            </w:r>
            <w:r w:rsidR="005C761D">
              <w:rPr>
                <w:noProof/>
                <w:webHidden/>
              </w:rPr>
              <w:fldChar w:fldCharType="end"/>
            </w:r>
          </w:hyperlink>
        </w:p>
        <w:p w:rsidR="005C761D" w:rsidRDefault="001B0203">
          <w:pPr>
            <w:pStyle w:val="TOC1"/>
            <w:tabs>
              <w:tab w:val="right" w:leader="dot" w:pos="9016"/>
            </w:tabs>
            <w:rPr>
              <w:rFonts w:asciiTheme="minorHAnsi" w:eastAsiaTheme="minorEastAsia" w:hAnsiTheme="minorHAnsi"/>
              <w:noProof/>
              <w:sz w:val="22"/>
              <w:lang w:eastAsia="en-GB"/>
            </w:rPr>
          </w:pPr>
          <w:hyperlink w:anchor="_Toc386181467" w:history="1">
            <w:r w:rsidR="005C761D" w:rsidRPr="00C67999">
              <w:rPr>
                <w:rStyle w:val="Hyperlink"/>
                <w:noProof/>
              </w:rPr>
              <w:t>Policy</w:t>
            </w:r>
            <w:r w:rsidR="005C761D">
              <w:rPr>
                <w:noProof/>
                <w:webHidden/>
              </w:rPr>
              <w:tab/>
            </w:r>
            <w:r w:rsidR="005C761D">
              <w:rPr>
                <w:noProof/>
                <w:webHidden/>
              </w:rPr>
              <w:fldChar w:fldCharType="begin"/>
            </w:r>
            <w:r w:rsidR="005C761D">
              <w:rPr>
                <w:noProof/>
                <w:webHidden/>
              </w:rPr>
              <w:instrText xml:space="preserve"> PAGEREF _Toc386181467 \h </w:instrText>
            </w:r>
            <w:r w:rsidR="005C761D">
              <w:rPr>
                <w:noProof/>
                <w:webHidden/>
              </w:rPr>
            </w:r>
            <w:r w:rsidR="005C761D">
              <w:rPr>
                <w:noProof/>
                <w:webHidden/>
              </w:rPr>
              <w:fldChar w:fldCharType="separate"/>
            </w:r>
            <w:r w:rsidR="005C761D">
              <w:rPr>
                <w:noProof/>
                <w:webHidden/>
              </w:rPr>
              <w:t>7</w:t>
            </w:r>
            <w:r w:rsidR="005C761D">
              <w:rPr>
                <w:noProof/>
                <w:webHidden/>
              </w:rPr>
              <w:fldChar w:fldCharType="end"/>
            </w:r>
          </w:hyperlink>
        </w:p>
        <w:p w:rsidR="005C761D" w:rsidRDefault="001B0203">
          <w:pPr>
            <w:pStyle w:val="TOC1"/>
            <w:tabs>
              <w:tab w:val="right" w:leader="dot" w:pos="9016"/>
            </w:tabs>
            <w:rPr>
              <w:rFonts w:asciiTheme="minorHAnsi" w:eastAsiaTheme="minorEastAsia" w:hAnsiTheme="minorHAnsi"/>
              <w:noProof/>
              <w:sz w:val="22"/>
              <w:lang w:eastAsia="en-GB"/>
            </w:rPr>
          </w:pPr>
          <w:hyperlink w:anchor="_Toc386181468" w:history="1">
            <w:r w:rsidR="005C761D" w:rsidRPr="00C67999">
              <w:rPr>
                <w:rStyle w:val="Hyperlink"/>
                <w:noProof/>
              </w:rPr>
              <w:t>Procedure</w:t>
            </w:r>
            <w:r w:rsidR="005C761D">
              <w:rPr>
                <w:noProof/>
                <w:webHidden/>
              </w:rPr>
              <w:tab/>
            </w:r>
            <w:r w:rsidR="005C761D">
              <w:rPr>
                <w:noProof/>
                <w:webHidden/>
              </w:rPr>
              <w:fldChar w:fldCharType="begin"/>
            </w:r>
            <w:r w:rsidR="005C761D">
              <w:rPr>
                <w:noProof/>
                <w:webHidden/>
              </w:rPr>
              <w:instrText xml:space="preserve"> PAGEREF _Toc386181468 \h </w:instrText>
            </w:r>
            <w:r w:rsidR="005C761D">
              <w:rPr>
                <w:noProof/>
                <w:webHidden/>
              </w:rPr>
            </w:r>
            <w:r w:rsidR="005C761D">
              <w:rPr>
                <w:noProof/>
                <w:webHidden/>
              </w:rPr>
              <w:fldChar w:fldCharType="separate"/>
            </w:r>
            <w:r w:rsidR="005C761D">
              <w:rPr>
                <w:noProof/>
                <w:webHidden/>
              </w:rPr>
              <w:t>8</w:t>
            </w:r>
            <w:r w:rsidR="005C761D">
              <w:rPr>
                <w:noProof/>
                <w:webHidden/>
              </w:rPr>
              <w:fldChar w:fldCharType="end"/>
            </w:r>
          </w:hyperlink>
        </w:p>
        <w:p w:rsidR="005C761D" w:rsidRDefault="001B0203">
          <w:pPr>
            <w:pStyle w:val="TOC1"/>
            <w:tabs>
              <w:tab w:val="right" w:leader="dot" w:pos="9016"/>
            </w:tabs>
            <w:rPr>
              <w:rFonts w:asciiTheme="minorHAnsi" w:eastAsiaTheme="minorEastAsia" w:hAnsiTheme="minorHAnsi"/>
              <w:noProof/>
              <w:sz w:val="22"/>
              <w:lang w:eastAsia="en-GB"/>
            </w:rPr>
          </w:pPr>
          <w:hyperlink w:anchor="_Toc386181469" w:history="1">
            <w:r w:rsidR="005C761D" w:rsidRPr="00C67999">
              <w:rPr>
                <w:rStyle w:val="Hyperlink"/>
                <w:noProof/>
              </w:rPr>
              <w:t>Balancing the Priorities</w:t>
            </w:r>
            <w:r w:rsidR="005C761D">
              <w:rPr>
                <w:noProof/>
                <w:webHidden/>
              </w:rPr>
              <w:tab/>
            </w:r>
            <w:r w:rsidR="005C761D">
              <w:rPr>
                <w:noProof/>
                <w:webHidden/>
              </w:rPr>
              <w:fldChar w:fldCharType="begin"/>
            </w:r>
            <w:r w:rsidR="005C761D">
              <w:rPr>
                <w:noProof/>
                <w:webHidden/>
              </w:rPr>
              <w:instrText xml:space="preserve"> PAGEREF _Toc386181469 \h </w:instrText>
            </w:r>
            <w:r w:rsidR="005C761D">
              <w:rPr>
                <w:noProof/>
                <w:webHidden/>
              </w:rPr>
            </w:r>
            <w:r w:rsidR="005C761D">
              <w:rPr>
                <w:noProof/>
                <w:webHidden/>
              </w:rPr>
              <w:fldChar w:fldCharType="separate"/>
            </w:r>
            <w:r w:rsidR="005C761D">
              <w:rPr>
                <w:noProof/>
                <w:webHidden/>
              </w:rPr>
              <w:t>9</w:t>
            </w:r>
            <w:r w:rsidR="005C761D">
              <w:rPr>
                <w:noProof/>
                <w:webHidden/>
              </w:rPr>
              <w:fldChar w:fldCharType="end"/>
            </w:r>
          </w:hyperlink>
        </w:p>
        <w:p w:rsidR="009F2936" w:rsidRDefault="009F2936">
          <w:r>
            <w:rPr>
              <w:b/>
              <w:bCs/>
              <w:noProof/>
            </w:rPr>
            <w:fldChar w:fldCharType="end"/>
          </w:r>
        </w:p>
      </w:sdtContent>
    </w:sdt>
    <w:p w:rsidR="007459C2" w:rsidRDefault="00FD0580" w:rsidP="007459C2">
      <w:pPr>
        <w:spacing w:after="0"/>
      </w:pPr>
      <w:r>
        <w:rPr>
          <w:noProof/>
          <w:lang w:eastAsia="en-GB"/>
        </w:rPr>
        <w:drawing>
          <wp:anchor distT="0" distB="0" distL="114300" distR="114300" simplePos="0" relativeHeight="251668480" behindDoc="1" locked="0" layoutInCell="1" allowOverlap="1" wp14:anchorId="55EEDB55" wp14:editId="47613108">
            <wp:simplePos x="0" y="0"/>
            <wp:positionH relativeFrom="column">
              <wp:posOffset>3924300</wp:posOffset>
            </wp:positionH>
            <wp:positionV relativeFrom="paragraph">
              <wp:posOffset>121285</wp:posOffset>
            </wp:positionV>
            <wp:extent cx="2305050" cy="3552825"/>
            <wp:effectExtent l="0" t="0" r="0" b="9525"/>
            <wp:wrapTight wrapText="bothSides">
              <wp:wrapPolygon edited="0">
                <wp:start x="0" y="0"/>
                <wp:lineTo x="0" y="21542"/>
                <wp:lineTo x="21421" y="21542"/>
                <wp:lineTo x="21421" y="0"/>
                <wp:lineTo x="0" y="0"/>
              </wp:wrapPolygon>
            </wp:wrapTight>
            <wp:docPr id="9" name="Picture 9" descr="C:\Users\AWhite\AppData\Local\Microsoft\Windows\Temporary Internet Files\Content.IE5\8E86S2CT\MC9002922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hite\AppData\Local\Microsoft\Windows\Temporary Internet Files\Content.IE5\8E86S2CT\MC900292226[1].w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82" r="2315" b="3078"/>
                    <a:stretch/>
                  </pic:blipFill>
                  <pic:spPr bwMode="auto">
                    <a:xfrm>
                      <a:off x="0" y="0"/>
                      <a:ext cx="2305050" cy="3552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757C5248" wp14:editId="3D6D8380">
            <wp:simplePos x="0" y="0"/>
            <wp:positionH relativeFrom="column">
              <wp:posOffset>-323850</wp:posOffset>
            </wp:positionH>
            <wp:positionV relativeFrom="paragraph">
              <wp:posOffset>130810</wp:posOffset>
            </wp:positionV>
            <wp:extent cx="4250055" cy="3543300"/>
            <wp:effectExtent l="0" t="0" r="0" b="0"/>
            <wp:wrapTight wrapText="bothSides">
              <wp:wrapPolygon edited="0">
                <wp:start x="0" y="0"/>
                <wp:lineTo x="0" y="21484"/>
                <wp:lineTo x="21494" y="21484"/>
                <wp:lineTo x="21494" y="0"/>
                <wp:lineTo x="0" y="0"/>
              </wp:wrapPolygon>
            </wp:wrapTight>
            <wp:docPr id="10" name="Picture 10" descr="C:\Users\AWhite\AppData\Local\Microsoft\Windows\Temporary Internet Files\Content.IE5\STPV29GD\MP9004483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White\AppData\Local\Microsoft\Windows\Temporary Internet Files\Content.IE5\STPV29GD\MP900448327[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0055" cy="354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9C2" w:rsidRDefault="007459C2" w:rsidP="007459C2">
      <w:pPr>
        <w:spacing w:after="0"/>
      </w:pPr>
    </w:p>
    <w:p w:rsidR="007459C2" w:rsidRDefault="007459C2" w:rsidP="007459C2">
      <w:pPr>
        <w:spacing w:after="0"/>
      </w:pPr>
    </w:p>
    <w:p w:rsidR="007459C2" w:rsidRDefault="007459C2" w:rsidP="007459C2">
      <w:pPr>
        <w:spacing w:after="0"/>
      </w:pPr>
    </w:p>
    <w:p w:rsidR="007459C2" w:rsidRDefault="007459C2">
      <w:r>
        <w:br w:type="page"/>
      </w:r>
    </w:p>
    <w:p w:rsidR="007459C2" w:rsidRDefault="007459C2" w:rsidP="009F2936">
      <w:pPr>
        <w:pStyle w:val="Heading1"/>
      </w:pPr>
      <w:bookmarkStart w:id="1" w:name="_Toc386181456"/>
      <w:r>
        <w:lastRenderedPageBreak/>
        <w:t>Purpose</w:t>
      </w:r>
      <w:bookmarkEnd w:id="1"/>
    </w:p>
    <w:p w:rsidR="009F2936" w:rsidRDefault="009F2936" w:rsidP="007459C2">
      <w:pPr>
        <w:spacing w:after="0"/>
      </w:pPr>
    </w:p>
    <w:p w:rsidR="009F2936" w:rsidRDefault="009F2936" w:rsidP="007572F6">
      <w:pPr>
        <w:spacing w:after="120"/>
      </w:pPr>
      <w:r>
        <w:t>The purpose of this policy is to set a framework for the consideration of requests for community asset transfer including when transfer is appropriate,</w:t>
      </w:r>
      <w:r w:rsidR="005C1841">
        <w:t xml:space="preserve"> options for transfer, safeguards and procedures.</w:t>
      </w:r>
    </w:p>
    <w:p w:rsidR="0041709E" w:rsidRDefault="0041709E" w:rsidP="007572F6">
      <w:pPr>
        <w:spacing w:after="120"/>
      </w:pPr>
      <w:r>
        <w:t>The Council has legal and general duties to the public purse to deal prudently with its finances and resources: where appropriate to maximise income and receipts in order to support services and to reduce taxes and charges.</w:t>
      </w:r>
    </w:p>
    <w:p w:rsidR="0041709E" w:rsidRDefault="0041709E" w:rsidP="007572F6">
      <w:pPr>
        <w:spacing w:after="120"/>
      </w:pPr>
      <w:r>
        <w:t>Property assets are one of the three major resources available to the Council and it is also appropriate for them to be used do drive improvement in services and facilities in the District.</w:t>
      </w:r>
    </w:p>
    <w:p w:rsidR="00716DE7" w:rsidRDefault="00D91F62" w:rsidP="007572F6">
      <w:pPr>
        <w:spacing w:after="120"/>
      </w:pPr>
      <w:r>
        <w:rPr>
          <w:noProof/>
          <w:lang w:eastAsia="en-GB"/>
        </w:rPr>
        <w:drawing>
          <wp:anchor distT="0" distB="0" distL="114300" distR="114300" simplePos="0" relativeHeight="251659264" behindDoc="1" locked="0" layoutInCell="1" allowOverlap="1" wp14:anchorId="4F0C0B59" wp14:editId="1C1C2F2C">
            <wp:simplePos x="0" y="0"/>
            <wp:positionH relativeFrom="column">
              <wp:posOffset>0</wp:posOffset>
            </wp:positionH>
            <wp:positionV relativeFrom="paragraph">
              <wp:posOffset>40005</wp:posOffset>
            </wp:positionV>
            <wp:extent cx="1861820" cy="1762125"/>
            <wp:effectExtent l="0" t="0" r="0" b="9525"/>
            <wp:wrapSquare wrapText="bothSides"/>
            <wp:docPr id="3" name="Picture 3" descr="C:\Users\AWhite\AppData\Local\Microsoft\Windows\Temporary Internet Files\Content.IE5\HCN9H6A2\MC9003244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hite\AppData\Local\Microsoft\Windows\Temporary Internet Files\Content.IE5\HCN9H6A2\MC900324448[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1820"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6DE7">
        <w:t>There are a range of options available to the Council ranging from the highly commercial to the explicitly charitable, with a spectrum of choices between.</w:t>
      </w:r>
    </w:p>
    <w:p w:rsidR="0041709E" w:rsidRDefault="00366AA8" w:rsidP="007572F6">
      <w:pPr>
        <w:spacing w:after="120"/>
      </w:pPr>
      <w:r>
        <w:t xml:space="preserve">In each case the Council must decide </w:t>
      </w:r>
      <w:r w:rsidR="00716DE7">
        <w:t xml:space="preserve">which approach to take. It must balance the financial and </w:t>
      </w:r>
      <w:r w:rsidR="0046039F">
        <w:t xml:space="preserve">the environmental, economic and </w:t>
      </w:r>
      <w:r w:rsidR="00716DE7">
        <w:t>social priorities</w:t>
      </w:r>
      <w:r w:rsidR="0046039F">
        <w:t xml:space="preserve"> for the District</w:t>
      </w:r>
      <w:r w:rsidR="00716DE7">
        <w:t>. Each case will hav</w:t>
      </w:r>
      <w:r w:rsidR="007572F6">
        <w:t>e different, costs, different benefits and different objectives. Each needs to be considered on its own merits.</w:t>
      </w:r>
    </w:p>
    <w:p w:rsidR="00716DE7" w:rsidRDefault="00716DE7" w:rsidP="007572F6">
      <w:pPr>
        <w:spacing w:after="120"/>
      </w:pPr>
      <w:r>
        <w:t>This policy aims to facilitate a balanced and consistent approach to the consideration of these individual cases.</w:t>
      </w:r>
    </w:p>
    <w:p w:rsidR="005A1951" w:rsidRDefault="005A1951" w:rsidP="0046039F">
      <w:pPr>
        <w:pStyle w:val="Heading1"/>
        <w:spacing w:before="240"/>
      </w:pPr>
      <w:bookmarkStart w:id="2" w:name="_Toc386181457"/>
      <w:r>
        <w:t>Definitions</w:t>
      </w:r>
      <w:bookmarkEnd w:id="2"/>
    </w:p>
    <w:p w:rsidR="005C1841" w:rsidRDefault="005C1841" w:rsidP="0046039F">
      <w:pPr>
        <w:pStyle w:val="Heading2"/>
        <w:spacing w:before="120"/>
      </w:pPr>
      <w:bookmarkStart w:id="3" w:name="_Toc386181458"/>
      <w:r>
        <w:t>Community</w:t>
      </w:r>
      <w:bookmarkEnd w:id="3"/>
    </w:p>
    <w:p w:rsidR="005C1841" w:rsidRDefault="007572F6" w:rsidP="007459C2">
      <w:pPr>
        <w:spacing w:after="0"/>
      </w:pPr>
      <w:r>
        <w:rPr>
          <w:noProof/>
          <w:lang w:eastAsia="en-GB"/>
        </w:rPr>
        <w:drawing>
          <wp:anchor distT="0" distB="0" distL="114300" distR="114300" simplePos="0" relativeHeight="251658240" behindDoc="1" locked="0" layoutInCell="1" allowOverlap="1" wp14:anchorId="3DB22EF8" wp14:editId="77C0ACBE">
            <wp:simplePos x="0" y="0"/>
            <wp:positionH relativeFrom="column">
              <wp:posOffset>3229610</wp:posOffset>
            </wp:positionH>
            <wp:positionV relativeFrom="paragraph">
              <wp:posOffset>148590</wp:posOffset>
            </wp:positionV>
            <wp:extent cx="2800350" cy="1896110"/>
            <wp:effectExtent l="0" t="0" r="0" b="8890"/>
            <wp:wrapTight wrapText="bothSides">
              <wp:wrapPolygon edited="0">
                <wp:start x="6465" y="0"/>
                <wp:lineTo x="5290" y="217"/>
                <wp:lineTo x="1763" y="2821"/>
                <wp:lineTo x="1176" y="4123"/>
                <wp:lineTo x="441" y="6076"/>
                <wp:lineTo x="0" y="9332"/>
                <wp:lineTo x="0" y="14323"/>
                <wp:lineTo x="882" y="18012"/>
                <wp:lineTo x="8669" y="20833"/>
                <wp:lineTo x="11461" y="21484"/>
                <wp:lineTo x="13224" y="21484"/>
                <wp:lineTo x="13371" y="21484"/>
                <wp:lineTo x="14694" y="20833"/>
                <wp:lineTo x="17633" y="17361"/>
                <wp:lineTo x="19249" y="13889"/>
                <wp:lineTo x="21453" y="11285"/>
                <wp:lineTo x="21453" y="10417"/>
                <wp:lineTo x="19984" y="6944"/>
                <wp:lineTo x="19396" y="3906"/>
                <wp:lineTo x="19396" y="3038"/>
                <wp:lineTo x="17486" y="434"/>
                <wp:lineTo x="16751" y="0"/>
                <wp:lineTo x="6465" y="0"/>
              </wp:wrapPolygon>
            </wp:wrapTight>
            <wp:docPr id="2" name="Picture 2" descr="C:\Users\AWhite\AppData\Local\Microsoft\Windows\Temporary Internet Files\Content.IE5\8E86S2CT\MC9003913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hite\AppData\Local\Microsoft\Windows\Temporary Internet Files\Content.IE5\8E86S2CT\MC900391340[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0350" cy="189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4E49">
        <w:t>For the purposes of this policy a community group or organisation, a body whose purpose is to benefit or deliver services to the local population</w:t>
      </w:r>
      <w:r w:rsidR="00F00C89">
        <w:t>. It is not one or more individuals, a company (except registered charitable not for profit companies) or a public body.</w:t>
      </w:r>
    </w:p>
    <w:p w:rsidR="005C1841" w:rsidRDefault="005C1841" w:rsidP="0046039F">
      <w:pPr>
        <w:pStyle w:val="Heading2"/>
        <w:spacing w:before="120"/>
      </w:pPr>
      <w:bookmarkStart w:id="4" w:name="_Toc386181459"/>
      <w:r>
        <w:t>Asset</w:t>
      </w:r>
      <w:bookmarkEnd w:id="4"/>
    </w:p>
    <w:p w:rsidR="005C1841" w:rsidRDefault="00F00C89" w:rsidP="007459C2">
      <w:pPr>
        <w:spacing w:after="0"/>
      </w:pPr>
      <w:r>
        <w:t>For the purposes of this policy Asset means Land and or buildings including any legal interest in them; typically either the freehold or leasehold ownership.</w:t>
      </w:r>
    </w:p>
    <w:p w:rsidR="005C1841" w:rsidRDefault="00F00C89" w:rsidP="0046039F">
      <w:pPr>
        <w:pStyle w:val="Heading2"/>
        <w:spacing w:before="120"/>
      </w:pPr>
      <w:bookmarkStart w:id="5" w:name="_Toc386181460"/>
      <w:r>
        <w:t>Tr</w:t>
      </w:r>
      <w:r w:rsidR="005C1841">
        <w:t>ansfer</w:t>
      </w:r>
      <w:bookmarkEnd w:id="5"/>
    </w:p>
    <w:p w:rsidR="007572F6" w:rsidRDefault="00F00C89" w:rsidP="009E105F">
      <w:pPr>
        <w:spacing w:after="0"/>
        <w:rPr>
          <w:rFonts w:asciiTheme="majorHAnsi" w:eastAsiaTheme="majorEastAsia" w:hAnsiTheme="majorHAnsi" w:cstheme="majorBidi"/>
          <w:b/>
          <w:bCs/>
          <w:color w:val="365F91" w:themeColor="accent1" w:themeShade="BF"/>
          <w:sz w:val="28"/>
          <w:szCs w:val="28"/>
        </w:rPr>
      </w:pPr>
      <w:r>
        <w:t>The transfer from the Council of any legal interest in an asset</w:t>
      </w:r>
      <w:r w:rsidR="00C206BF">
        <w:t>; typically either the freehold or leasehold ownership.</w:t>
      </w:r>
      <w:r w:rsidR="009E105F">
        <w:t xml:space="preserve"> Any disposal at full market value can be considered within the Council’s ordinary processes. Any proposal to dispose of land or buildings at less than full market value to a community group will be </w:t>
      </w:r>
      <w:r w:rsidR="0046039F">
        <w:t>will be assessed in the light of</w:t>
      </w:r>
      <w:r w:rsidR="009E105F">
        <w:t xml:space="preserve"> this policy.</w:t>
      </w:r>
      <w:r w:rsidR="007572F6">
        <w:br w:type="page"/>
      </w:r>
    </w:p>
    <w:p w:rsidR="005C1841" w:rsidRDefault="005C1841" w:rsidP="005C1841">
      <w:pPr>
        <w:pStyle w:val="Heading1"/>
      </w:pPr>
      <w:bookmarkStart w:id="6" w:name="_Toc386181461"/>
      <w:r>
        <w:lastRenderedPageBreak/>
        <w:t>Legal Basis</w:t>
      </w:r>
      <w:bookmarkEnd w:id="6"/>
    </w:p>
    <w:p w:rsidR="007777BF" w:rsidRDefault="007777BF" w:rsidP="007777BF">
      <w:pPr>
        <w:spacing w:after="0"/>
        <w:rPr>
          <w:rFonts w:cs="Arial"/>
        </w:rPr>
      </w:pPr>
      <w:r>
        <w:rPr>
          <w:rFonts w:cs="Arial"/>
        </w:rPr>
        <w:t>In coming to decisions in relation to management of assets, the Council must act in accordance with its statutory duties and responsibilities. The law governing the management of assets is the Local Government Act 1972.</w:t>
      </w:r>
    </w:p>
    <w:p w:rsidR="007777BF" w:rsidRPr="00037F7A" w:rsidRDefault="007777BF" w:rsidP="00D00215">
      <w:pPr>
        <w:pStyle w:val="BodyTextIndent2"/>
        <w:numPr>
          <w:ilvl w:val="0"/>
          <w:numId w:val="1"/>
        </w:numPr>
        <w:tabs>
          <w:tab w:val="left" w:pos="0"/>
        </w:tabs>
        <w:spacing w:before="60" w:after="60"/>
        <w:rPr>
          <w:rFonts w:ascii="Arial" w:hAnsi="Arial" w:cs="Arial"/>
          <w:szCs w:val="24"/>
        </w:rPr>
      </w:pPr>
      <w:r w:rsidRPr="00037F7A">
        <w:rPr>
          <w:rFonts w:ascii="Arial" w:hAnsi="Arial" w:cs="Arial"/>
          <w:szCs w:val="24"/>
        </w:rPr>
        <w:t xml:space="preserve">Section 120 </w:t>
      </w:r>
      <w:r w:rsidR="00A508C5" w:rsidRPr="00037F7A">
        <w:rPr>
          <w:rFonts w:ascii="Arial" w:hAnsi="Arial" w:cs="Arial"/>
          <w:szCs w:val="24"/>
        </w:rPr>
        <w:t xml:space="preserve">provides power for Councils to acquire land for the benefit of the district. Case law related to this means that </w:t>
      </w:r>
      <w:r w:rsidRPr="00037F7A">
        <w:rPr>
          <w:rFonts w:ascii="Arial" w:hAnsi="Arial" w:cs="Arial"/>
          <w:szCs w:val="24"/>
        </w:rPr>
        <w:t xml:space="preserve">the Council is obliged to ensure that </w:t>
      </w:r>
      <w:r w:rsidR="00A508C5" w:rsidRPr="00037F7A">
        <w:rPr>
          <w:rFonts w:ascii="Arial" w:hAnsi="Arial" w:cs="Arial"/>
          <w:szCs w:val="24"/>
        </w:rPr>
        <w:t>the management of its assets is also</w:t>
      </w:r>
      <w:r w:rsidRPr="00037F7A">
        <w:rPr>
          <w:rFonts w:ascii="Arial" w:hAnsi="Arial" w:cs="Arial"/>
          <w:szCs w:val="24"/>
        </w:rPr>
        <w:t xml:space="preserve"> for the benefit of the district.</w:t>
      </w:r>
    </w:p>
    <w:p w:rsidR="00520E0B" w:rsidRPr="00037F7A" w:rsidRDefault="007777BF" w:rsidP="00D00215">
      <w:pPr>
        <w:pStyle w:val="BodyTextIndent2"/>
        <w:numPr>
          <w:ilvl w:val="0"/>
          <w:numId w:val="1"/>
        </w:numPr>
        <w:tabs>
          <w:tab w:val="left" w:pos="0"/>
        </w:tabs>
        <w:spacing w:before="60" w:after="60"/>
        <w:rPr>
          <w:rFonts w:ascii="Arial" w:hAnsi="Arial" w:cs="Arial"/>
          <w:szCs w:val="24"/>
        </w:rPr>
      </w:pPr>
      <w:r w:rsidRPr="00037F7A">
        <w:rPr>
          <w:rFonts w:ascii="Arial" w:hAnsi="Arial" w:cs="Arial"/>
          <w:szCs w:val="24"/>
        </w:rPr>
        <w:t>Section 123(1) indicates that, a local authority may dispose of land held by it in any way it wishes so long as</w:t>
      </w:r>
      <w:r w:rsidR="00520E0B" w:rsidRPr="00037F7A">
        <w:rPr>
          <w:rFonts w:ascii="Arial" w:hAnsi="Arial" w:cs="Arial"/>
          <w:szCs w:val="24"/>
        </w:rPr>
        <w:t>:</w:t>
      </w:r>
    </w:p>
    <w:p w:rsidR="007777BF" w:rsidRPr="00037F7A" w:rsidRDefault="00520E0B" w:rsidP="00D00215">
      <w:pPr>
        <w:pStyle w:val="BodyTextIndent2"/>
        <w:numPr>
          <w:ilvl w:val="0"/>
          <w:numId w:val="1"/>
        </w:numPr>
        <w:tabs>
          <w:tab w:val="left" w:pos="0"/>
        </w:tabs>
        <w:spacing w:before="60" w:after="60"/>
        <w:rPr>
          <w:rFonts w:ascii="Arial" w:hAnsi="Arial" w:cs="Arial"/>
          <w:szCs w:val="24"/>
        </w:rPr>
      </w:pPr>
      <w:r w:rsidRPr="00037F7A">
        <w:rPr>
          <w:rFonts w:ascii="Arial" w:hAnsi="Arial" w:cs="Arial"/>
          <w:szCs w:val="24"/>
        </w:rPr>
        <w:t>Section 123 (2)</w:t>
      </w:r>
      <w:r w:rsidR="007777BF" w:rsidRPr="00037F7A">
        <w:rPr>
          <w:rFonts w:ascii="Arial" w:hAnsi="Arial" w:cs="Arial"/>
          <w:szCs w:val="24"/>
        </w:rPr>
        <w:t xml:space="preserve"> the land is disposed for a consideration not less than the best that can reasonably be obtained.  </w:t>
      </w:r>
    </w:p>
    <w:p w:rsidR="007777BF" w:rsidRPr="00037F7A" w:rsidRDefault="007777BF" w:rsidP="00D00215">
      <w:pPr>
        <w:pStyle w:val="BodyTextIndent2"/>
        <w:numPr>
          <w:ilvl w:val="0"/>
          <w:numId w:val="1"/>
        </w:numPr>
        <w:tabs>
          <w:tab w:val="left" w:pos="0"/>
        </w:tabs>
        <w:spacing w:before="60" w:after="60"/>
        <w:rPr>
          <w:rFonts w:ascii="Arial" w:hAnsi="Arial" w:cs="Arial"/>
          <w:szCs w:val="24"/>
        </w:rPr>
      </w:pPr>
      <w:r w:rsidRPr="00037F7A">
        <w:rPr>
          <w:rFonts w:ascii="Arial" w:hAnsi="Arial" w:cs="Arial"/>
          <w:szCs w:val="24"/>
        </w:rPr>
        <w:t xml:space="preserve">Section 123(2A) Local Government Act 1972 indicates that, a local authority may not dispose of land held by </w:t>
      </w:r>
      <w:r w:rsidR="00A508C5" w:rsidRPr="00037F7A">
        <w:rPr>
          <w:rFonts w:ascii="Arial" w:hAnsi="Arial" w:cs="Arial"/>
          <w:szCs w:val="24"/>
        </w:rPr>
        <w:t xml:space="preserve">it as Public Open Space </w:t>
      </w:r>
      <w:r w:rsidRPr="00037F7A">
        <w:rPr>
          <w:rFonts w:ascii="Arial" w:hAnsi="Arial" w:cs="Arial"/>
          <w:szCs w:val="24"/>
        </w:rPr>
        <w:t xml:space="preserve">without advertising its intention to do so in the local press. </w:t>
      </w:r>
    </w:p>
    <w:p w:rsidR="00D00215" w:rsidRPr="00037F7A" w:rsidRDefault="007777BF" w:rsidP="007777BF">
      <w:pPr>
        <w:pStyle w:val="BodyTextIndent2"/>
        <w:tabs>
          <w:tab w:val="left" w:pos="0"/>
        </w:tabs>
        <w:spacing w:before="60" w:after="60"/>
        <w:ind w:left="0"/>
        <w:rPr>
          <w:rFonts w:ascii="Arial" w:hAnsi="Arial" w:cs="Arial"/>
          <w:szCs w:val="24"/>
        </w:rPr>
      </w:pPr>
      <w:r w:rsidRPr="00037F7A">
        <w:rPr>
          <w:rFonts w:ascii="Arial" w:hAnsi="Arial" w:cs="Arial"/>
          <w:szCs w:val="24"/>
        </w:rPr>
        <w:t>The General Disposal Consent Order (England) 2003 gives consent for disposal at below best consideration reasonably obtainable provided that the undervalue is less than £2m and the proposal enhances the environmental economic and social wellbeing of the area.</w:t>
      </w:r>
      <w:r w:rsidR="00A508C5" w:rsidRPr="00037F7A">
        <w:rPr>
          <w:rFonts w:ascii="Arial" w:hAnsi="Arial" w:cs="Arial"/>
          <w:szCs w:val="24"/>
        </w:rPr>
        <w:t xml:space="preserve"> </w:t>
      </w:r>
    </w:p>
    <w:p w:rsidR="000408C8" w:rsidRPr="00037F7A" w:rsidRDefault="00A508C5" w:rsidP="007777BF">
      <w:pPr>
        <w:pStyle w:val="BodyTextIndent2"/>
        <w:tabs>
          <w:tab w:val="left" w:pos="0"/>
        </w:tabs>
        <w:spacing w:before="60" w:after="60"/>
        <w:ind w:left="0"/>
        <w:rPr>
          <w:rFonts w:ascii="Arial" w:hAnsi="Arial" w:cs="Arial"/>
          <w:szCs w:val="24"/>
        </w:rPr>
      </w:pPr>
      <w:r w:rsidRPr="00037F7A">
        <w:rPr>
          <w:rFonts w:ascii="Arial" w:hAnsi="Arial" w:cs="Arial"/>
          <w:szCs w:val="24"/>
        </w:rPr>
        <w:t>Regulations made under the order set out a detailed and specific process for considering this</w:t>
      </w:r>
      <w:r w:rsidR="000408C8" w:rsidRPr="00037F7A">
        <w:rPr>
          <w:rFonts w:ascii="Arial" w:hAnsi="Arial" w:cs="Arial"/>
          <w:szCs w:val="24"/>
        </w:rPr>
        <w:t xml:space="preserve">. </w:t>
      </w:r>
      <w:r w:rsidR="00D00215" w:rsidRPr="00037F7A">
        <w:rPr>
          <w:rFonts w:ascii="Arial" w:hAnsi="Arial" w:cs="Arial"/>
          <w:szCs w:val="24"/>
        </w:rPr>
        <w:t xml:space="preserve"> </w:t>
      </w:r>
      <w:r w:rsidR="000408C8" w:rsidRPr="00037F7A">
        <w:rPr>
          <w:rFonts w:ascii="Arial" w:hAnsi="Arial" w:cs="Arial"/>
          <w:szCs w:val="24"/>
        </w:rPr>
        <w:t>They include:</w:t>
      </w:r>
    </w:p>
    <w:p w:rsidR="000408C8" w:rsidRPr="00037F7A" w:rsidRDefault="000408C8" w:rsidP="000408C8">
      <w:pPr>
        <w:pStyle w:val="BodyTextIndent2"/>
        <w:numPr>
          <w:ilvl w:val="0"/>
          <w:numId w:val="2"/>
        </w:numPr>
        <w:tabs>
          <w:tab w:val="left" w:pos="0"/>
        </w:tabs>
        <w:spacing w:before="60" w:after="60"/>
        <w:rPr>
          <w:rFonts w:ascii="Arial" w:hAnsi="Arial" w:cs="Arial"/>
          <w:szCs w:val="24"/>
        </w:rPr>
      </w:pPr>
      <w:r w:rsidRPr="00037F7A">
        <w:rPr>
          <w:rFonts w:ascii="Arial" w:hAnsi="Arial" w:cs="Arial"/>
          <w:szCs w:val="24"/>
        </w:rPr>
        <w:t>O</w:t>
      </w:r>
      <w:r w:rsidR="00D00215" w:rsidRPr="00037F7A">
        <w:rPr>
          <w:rFonts w:ascii="Arial" w:hAnsi="Arial" w:cs="Arial"/>
          <w:szCs w:val="24"/>
        </w:rPr>
        <w:t>btaining of qualified valuer’s advice on the maximum price that could be obtained</w:t>
      </w:r>
    </w:p>
    <w:p w:rsidR="000408C8" w:rsidRPr="00037F7A" w:rsidRDefault="000408C8" w:rsidP="000408C8">
      <w:pPr>
        <w:pStyle w:val="BodyTextIndent2"/>
        <w:numPr>
          <w:ilvl w:val="0"/>
          <w:numId w:val="2"/>
        </w:numPr>
        <w:tabs>
          <w:tab w:val="left" w:pos="0"/>
        </w:tabs>
        <w:spacing w:before="60" w:after="60"/>
        <w:rPr>
          <w:rFonts w:ascii="Arial" w:hAnsi="Arial" w:cs="Arial"/>
          <w:szCs w:val="24"/>
        </w:rPr>
      </w:pPr>
      <w:r w:rsidRPr="00037F7A">
        <w:rPr>
          <w:rFonts w:ascii="Arial" w:hAnsi="Arial" w:cs="Arial"/>
          <w:szCs w:val="24"/>
        </w:rPr>
        <w:t>A</w:t>
      </w:r>
      <w:r w:rsidR="00D00215" w:rsidRPr="00037F7A">
        <w:rPr>
          <w:rFonts w:ascii="Arial" w:hAnsi="Arial" w:cs="Arial"/>
          <w:szCs w:val="24"/>
        </w:rPr>
        <w:t xml:space="preserve"> formal decision to accept the proposed terms instead of the maximum </w:t>
      </w:r>
    </w:p>
    <w:p w:rsidR="007777BF" w:rsidRPr="00037F7A" w:rsidRDefault="000408C8" w:rsidP="000408C8">
      <w:pPr>
        <w:pStyle w:val="BodyTextIndent2"/>
        <w:numPr>
          <w:ilvl w:val="0"/>
          <w:numId w:val="2"/>
        </w:numPr>
        <w:tabs>
          <w:tab w:val="left" w:pos="0"/>
        </w:tabs>
        <w:spacing w:before="60" w:after="60"/>
        <w:rPr>
          <w:rFonts w:ascii="Arial" w:hAnsi="Arial" w:cs="Arial"/>
          <w:szCs w:val="24"/>
        </w:rPr>
      </w:pPr>
      <w:r w:rsidRPr="00037F7A">
        <w:rPr>
          <w:rFonts w:ascii="Arial" w:hAnsi="Arial" w:cs="Arial"/>
          <w:szCs w:val="24"/>
        </w:rPr>
        <w:t>S</w:t>
      </w:r>
      <w:r w:rsidR="00D91F62" w:rsidRPr="00037F7A">
        <w:rPr>
          <w:rFonts w:ascii="Arial" w:hAnsi="Arial" w:cs="Arial"/>
          <w:szCs w:val="24"/>
        </w:rPr>
        <w:t>pecifying, but not valuing,</w:t>
      </w:r>
      <w:r w:rsidR="00D00215" w:rsidRPr="00037F7A">
        <w:rPr>
          <w:rFonts w:ascii="Arial" w:hAnsi="Arial" w:cs="Arial"/>
          <w:szCs w:val="24"/>
        </w:rPr>
        <w:t xml:space="preserve"> the proposed </w:t>
      </w:r>
      <w:r w:rsidRPr="00037F7A">
        <w:rPr>
          <w:rFonts w:ascii="Arial" w:hAnsi="Arial" w:cs="Arial"/>
          <w:szCs w:val="24"/>
        </w:rPr>
        <w:t>enhancements</w:t>
      </w:r>
      <w:r w:rsidR="00D00215" w:rsidRPr="00037F7A">
        <w:rPr>
          <w:rFonts w:ascii="Arial" w:hAnsi="Arial" w:cs="Arial"/>
          <w:szCs w:val="24"/>
        </w:rPr>
        <w:t xml:space="preserve"> to the environmental economic and social wellbeing of the area</w:t>
      </w:r>
      <w:r w:rsidRPr="00037F7A">
        <w:rPr>
          <w:rFonts w:ascii="Arial" w:hAnsi="Arial" w:cs="Arial"/>
          <w:szCs w:val="24"/>
        </w:rPr>
        <w:t xml:space="preserve"> that justify the decision.</w:t>
      </w:r>
    </w:p>
    <w:p w:rsidR="005C1841" w:rsidRDefault="005C1841" w:rsidP="005C1841">
      <w:pPr>
        <w:spacing w:after="0"/>
      </w:pPr>
    </w:p>
    <w:p w:rsidR="005C1841" w:rsidRPr="00AD1790" w:rsidRDefault="000408C8" w:rsidP="00403F48">
      <w:pPr>
        <w:spacing w:after="0"/>
        <w:rPr>
          <w:rFonts w:cs="Arial"/>
        </w:rPr>
      </w:pPr>
      <w:r w:rsidRPr="00AD1790">
        <w:rPr>
          <w:rFonts w:cs="Arial"/>
        </w:rPr>
        <w:t xml:space="preserve">Counsel’s advice obtained by the Council </w:t>
      </w:r>
      <w:r w:rsidR="00403F48" w:rsidRPr="00AD1790">
        <w:rPr>
          <w:rFonts w:cs="Arial"/>
        </w:rPr>
        <w:t xml:space="preserve">concludes that: </w:t>
      </w:r>
    </w:p>
    <w:p w:rsidR="00403F48" w:rsidRPr="00AD1790" w:rsidRDefault="00CC6085" w:rsidP="00AD1790">
      <w:pPr>
        <w:pStyle w:val="ListParagraph"/>
        <w:numPr>
          <w:ilvl w:val="0"/>
          <w:numId w:val="3"/>
        </w:numPr>
        <w:spacing w:after="0"/>
        <w:rPr>
          <w:rFonts w:cs="Arial"/>
        </w:rPr>
      </w:pPr>
      <w:r>
        <w:rPr>
          <w:rFonts w:cs="Arial"/>
          <w:noProof/>
          <w:lang w:eastAsia="en-GB"/>
        </w:rPr>
        <w:drawing>
          <wp:anchor distT="0" distB="0" distL="114300" distR="114300" simplePos="0" relativeHeight="251660288" behindDoc="0" locked="0" layoutInCell="1" allowOverlap="1" wp14:anchorId="35AFEE42" wp14:editId="39542FC5">
            <wp:simplePos x="0" y="0"/>
            <wp:positionH relativeFrom="column">
              <wp:posOffset>3285490</wp:posOffset>
            </wp:positionH>
            <wp:positionV relativeFrom="paragraph">
              <wp:posOffset>90170</wp:posOffset>
            </wp:positionV>
            <wp:extent cx="2676525" cy="1878965"/>
            <wp:effectExtent l="0" t="0" r="9525" b="6985"/>
            <wp:wrapSquare wrapText="bothSides"/>
            <wp:docPr id="5" name="Picture 5" descr="C:\Users\AWhite\AppData\Local\Microsoft\Windows\Temporary Internet Files\Content.IE5\HCN9H6A2\MC9000015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White\AppData\Local\Microsoft\Windows\Temporary Internet Files\Content.IE5\HCN9H6A2\MC900001530[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6525" cy="187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03F48" w:rsidRPr="00AD1790">
        <w:rPr>
          <w:rFonts w:cs="Arial"/>
        </w:rPr>
        <w:t>Best consideration should normally be demonstrated by an open marketing and bidding process unless valuer’s advice firmly concludes otherwise, perhaps because of a special purchaser situation.</w:t>
      </w:r>
    </w:p>
    <w:p w:rsidR="00403F48" w:rsidRPr="00AD1790" w:rsidRDefault="00403F48" w:rsidP="00AD1790">
      <w:pPr>
        <w:pStyle w:val="ListParagraph"/>
        <w:numPr>
          <w:ilvl w:val="0"/>
          <w:numId w:val="3"/>
        </w:numPr>
        <w:spacing w:after="0"/>
        <w:rPr>
          <w:rFonts w:cs="Arial"/>
        </w:rPr>
      </w:pPr>
      <w:r w:rsidRPr="00AD1790">
        <w:rPr>
          <w:rFonts w:cs="Arial"/>
        </w:rPr>
        <w:t>Best Consideration Reasonably Obtainable means the highest price.</w:t>
      </w:r>
    </w:p>
    <w:p w:rsidR="00403F48" w:rsidRDefault="00403F48" w:rsidP="00AD1790">
      <w:pPr>
        <w:pStyle w:val="ListParagraph"/>
        <w:numPr>
          <w:ilvl w:val="0"/>
          <w:numId w:val="3"/>
        </w:numPr>
        <w:spacing w:after="0"/>
        <w:rPr>
          <w:rFonts w:cs="Arial"/>
        </w:rPr>
      </w:pPr>
      <w:r w:rsidRPr="00AD1790">
        <w:rPr>
          <w:rFonts w:cs="Arial"/>
        </w:rPr>
        <w:t>If a lower price is accepted because of a community benefit then the terms of transfer shoul</w:t>
      </w:r>
      <w:r w:rsidR="00AD1790" w:rsidRPr="00AD1790">
        <w:rPr>
          <w:rFonts w:cs="Arial"/>
        </w:rPr>
        <w:t>d</w:t>
      </w:r>
      <w:r w:rsidRPr="00AD1790">
        <w:rPr>
          <w:rFonts w:cs="Arial"/>
        </w:rPr>
        <w:t xml:space="preserve"> </w:t>
      </w:r>
      <w:r w:rsidR="00D91F62">
        <w:rPr>
          <w:rFonts w:cs="Arial"/>
        </w:rPr>
        <w:t>legally secure</w:t>
      </w:r>
      <w:r w:rsidRPr="00AD1790">
        <w:rPr>
          <w:rFonts w:cs="Arial"/>
        </w:rPr>
        <w:t xml:space="preserve"> those benefits</w:t>
      </w:r>
      <w:r w:rsidR="00AD1790" w:rsidRPr="00AD1790">
        <w:rPr>
          <w:rFonts w:cs="Arial"/>
        </w:rPr>
        <w:t xml:space="preserve"> over time.</w:t>
      </w:r>
    </w:p>
    <w:p w:rsidR="00037F7A" w:rsidRDefault="00037F7A" w:rsidP="00242D87">
      <w:pPr>
        <w:spacing w:after="120"/>
      </w:pPr>
    </w:p>
    <w:p w:rsidR="00242D87" w:rsidRDefault="00E5743E" w:rsidP="00242D87">
      <w:pPr>
        <w:spacing w:after="120"/>
      </w:pPr>
      <w:r>
        <w:t xml:space="preserve">In addition to these specific powers and duties the Council has a general fiduciary duty </w:t>
      </w:r>
      <w:r w:rsidR="00242D87">
        <w:t>to the public purse.</w:t>
      </w:r>
    </w:p>
    <w:p w:rsidR="00242D87" w:rsidRDefault="00242D87" w:rsidP="00242D87">
      <w:pPr>
        <w:spacing w:after="120"/>
      </w:pPr>
      <w:r>
        <w:t>In the coming years government funding will reduce. This will place an even higher emphasis on the importance of prudently managing the Council’s assets and resources.</w:t>
      </w:r>
    </w:p>
    <w:p w:rsidR="00C44C5D" w:rsidRDefault="00242D87" w:rsidP="00242D87">
      <w:pPr>
        <w:spacing w:after="120"/>
        <w:rPr>
          <w:rFonts w:asciiTheme="majorHAnsi" w:eastAsiaTheme="majorEastAsia" w:hAnsiTheme="majorHAnsi" w:cstheme="majorBidi"/>
          <w:b/>
          <w:bCs/>
          <w:color w:val="365F91" w:themeColor="accent1" w:themeShade="BF"/>
          <w:sz w:val="28"/>
          <w:szCs w:val="28"/>
        </w:rPr>
      </w:pPr>
      <w:r>
        <w:t>Any decision not to maximise financial returns must be proportionate to other gains and based on compelling improvements to public services and facilities.</w:t>
      </w:r>
      <w:r w:rsidR="00C44C5D">
        <w:br w:type="page"/>
      </w:r>
    </w:p>
    <w:p w:rsidR="005C1841" w:rsidRDefault="00704E49" w:rsidP="00704E49">
      <w:pPr>
        <w:pStyle w:val="Heading1"/>
      </w:pPr>
      <w:bookmarkStart w:id="7" w:name="_Toc386181462"/>
      <w:r>
        <w:lastRenderedPageBreak/>
        <w:t>Fiduciary Duty</w:t>
      </w:r>
      <w:bookmarkEnd w:id="7"/>
    </w:p>
    <w:p w:rsidR="00704E49" w:rsidRDefault="00C44C5D" w:rsidP="007459C2">
      <w:pPr>
        <w:spacing w:after="0"/>
      </w:pPr>
      <w:r>
        <w:rPr>
          <w:noProof/>
          <w:lang w:eastAsia="en-GB"/>
        </w:rPr>
        <w:drawing>
          <wp:anchor distT="0" distB="0" distL="114300" distR="114300" simplePos="0" relativeHeight="251665408" behindDoc="0" locked="0" layoutInCell="1" allowOverlap="1" wp14:anchorId="6DB97194" wp14:editId="7E4732DF">
            <wp:simplePos x="0" y="0"/>
            <wp:positionH relativeFrom="column">
              <wp:posOffset>3562350</wp:posOffset>
            </wp:positionH>
            <wp:positionV relativeFrom="paragraph">
              <wp:posOffset>466725</wp:posOffset>
            </wp:positionV>
            <wp:extent cx="2162175" cy="1546860"/>
            <wp:effectExtent l="0" t="0" r="9525" b="0"/>
            <wp:wrapSquare wrapText="bothSides"/>
            <wp:docPr id="6" name="Picture 6" descr="C:\Users\AWhite\AppData\Local\Microsoft\Windows\Temporary Internet Files\Content.IE5\8E86S2CT\MP9004049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hite\AppData\Local\Microsoft\Windows\Temporary Internet Files\Content.IE5\8E86S2CT\MP900404926[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2175"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085">
        <w:t>The Council is also under a general and moral duty to manage its affairs properly and efficiently. For immediate purposes this means</w:t>
      </w:r>
      <w:r w:rsidR="00C93603">
        <w:t xml:space="preserve"> that i</w:t>
      </w:r>
      <w:r w:rsidR="00CC6085">
        <w:t>n general it should maximise financial returns in the interest of the district.</w:t>
      </w:r>
    </w:p>
    <w:p w:rsidR="00C93603" w:rsidRDefault="00C93603" w:rsidP="007459C2">
      <w:pPr>
        <w:spacing w:after="0"/>
      </w:pPr>
      <w:r>
        <w:t>Where it accepts non-financial benefits in lieu of financial ones these should</w:t>
      </w:r>
      <w:r w:rsidRPr="00C93603">
        <w:t xml:space="preserve"> </w:t>
      </w:r>
      <w:r>
        <w:t>be:</w:t>
      </w:r>
    </w:p>
    <w:p w:rsidR="00C93603" w:rsidRDefault="00C93603" w:rsidP="00C93603">
      <w:pPr>
        <w:pStyle w:val="ListParagraph"/>
        <w:numPr>
          <w:ilvl w:val="0"/>
          <w:numId w:val="4"/>
        </w:numPr>
        <w:spacing w:after="0"/>
      </w:pPr>
      <w:r>
        <w:t>in proportion to the financial return that is foregone.</w:t>
      </w:r>
    </w:p>
    <w:p w:rsidR="00C93603" w:rsidRDefault="00242D87" w:rsidP="00C93603">
      <w:pPr>
        <w:pStyle w:val="ListParagraph"/>
        <w:numPr>
          <w:ilvl w:val="0"/>
          <w:numId w:val="4"/>
        </w:numPr>
        <w:spacing w:after="0"/>
      </w:pPr>
      <w:r>
        <w:t xml:space="preserve">Compelling, </w:t>
      </w:r>
      <w:r w:rsidR="00C93603">
        <w:t>real and tangible</w:t>
      </w:r>
    </w:p>
    <w:p w:rsidR="00704E49" w:rsidRDefault="00C93603" w:rsidP="00C93603">
      <w:pPr>
        <w:pStyle w:val="ListParagraph"/>
        <w:numPr>
          <w:ilvl w:val="0"/>
          <w:numId w:val="4"/>
        </w:numPr>
        <w:spacing w:after="0"/>
      </w:pPr>
      <w:r>
        <w:t>in addition to what already exists or is planned</w:t>
      </w:r>
    </w:p>
    <w:p w:rsidR="00C93603" w:rsidRDefault="00C93603" w:rsidP="00C93603">
      <w:pPr>
        <w:pStyle w:val="ListParagraph"/>
        <w:numPr>
          <w:ilvl w:val="0"/>
          <w:numId w:val="4"/>
        </w:numPr>
        <w:spacing w:after="0"/>
      </w:pPr>
      <w:r>
        <w:t>sustainable and on-going</w:t>
      </w:r>
    </w:p>
    <w:p w:rsidR="00902FA1" w:rsidRDefault="00902FA1" w:rsidP="00704E49">
      <w:pPr>
        <w:pStyle w:val="Heading1"/>
      </w:pPr>
      <w:bookmarkStart w:id="8" w:name="_Toc386181463"/>
      <w:r>
        <w:t>CAROS</w:t>
      </w:r>
      <w:bookmarkEnd w:id="8"/>
    </w:p>
    <w:p w:rsidR="00902FA1" w:rsidRDefault="00667E40" w:rsidP="00902FA1">
      <w:r>
        <w:t>The Council already operates a Community Asset Rent Offsetting scheme. This is a grant scheme that operates to provide a discretionary grant to community groups that lease land or buildings from the Council. The grant level is specific to each piece of la</w:t>
      </w:r>
      <w:r w:rsidR="00D91F62">
        <w:t>nd or building and is calculated</w:t>
      </w:r>
      <w:r>
        <w:t xml:space="preserve"> so as to reduce the net amount paid by the organisation to a </w:t>
      </w:r>
      <w:r w:rsidR="00813EB3">
        <w:t>threshold</w:t>
      </w:r>
      <w:r>
        <w:t xml:space="preserve">. The level of the </w:t>
      </w:r>
      <w:r w:rsidR="00813EB3">
        <w:t>threshold</w:t>
      </w:r>
      <w:r>
        <w:t>, and the criteria of the scheme are available for</w:t>
      </w:r>
      <w:r w:rsidR="0060152E">
        <w:t xml:space="preserve"> </w:t>
      </w:r>
      <w:r>
        <w:t>t</w:t>
      </w:r>
      <w:r w:rsidR="0060152E">
        <w:t>h</w:t>
      </w:r>
      <w:r>
        <w:t>e Portfolio Holder to review each year. The current amount set in the scheme is the higher of £500 or 25% of the open market rent although any organisation whose rent is lower t</w:t>
      </w:r>
      <w:r w:rsidR="00813EB3">
        <w:t>h</w:t>
      </w:r>
      <w:r>
        <w:t>an £500 will pay only the actual rent.</w:t>
      </w:r>
    </w:p>
    <w:p w:rsidR="00813EB3" w:rsidRDefault="00813EB3" w:rsidP="00902FA1">
      <w:r>
        <w:t>CAROS is set up with the aim of supporting existing community organisations and their existing contributions to the District’s community. It allows the Council to balance the financial needs and obligations of the authority with the actual levels of community benefit. The review mechanism allows that balance to be adjusted as circumstances change and in the event that community services are lost or withdrawn.</w:t>
      </w:r>
    </w:p>
    <w:p w:rsidR="0060152E" w:rsidRDefault="0060152E" w:rsidP="0060152E">
      <w:pPr>
        <w:pStyle w:val="Heading1"/>
      </w:pPr>
      <w:bookmarkStart w:id="9" w:name="_Toc386181464"/>
      <w:r>
        <w:t>Degrees of Transfer</w:t>
      </w:r>
      <w:bookmarkEnd w:id="9"/>
    </w:p>
    <w:p w:rsidR="0060152E" w:rsidRDefault="0060152E" w:rsidP="00902FA1">
      <w:r>
        <w:t>The Council can transfer a range of interests in property. These vary in the degree of rights and ownership transferred. The level of interest that the Council should transfer can be related to the nature of the proposals at hand, the extent of the community benefits offered and any limiting factors.</w:t>
      </w:r>
    </w:p>
    <w:tbl>
      <w:tblPr>
        <w:tblStyle w:val="TableGrid"/>
        <w:tblW w:w="9328" w:type="dxa"/>
        <w:tblLook w:val="04A0" w:firstRow="1" w:lastRow="0" w:firstColumn="1" w:lastColumn="0" w:noHBand="0" w:noVBand="1"/>
      </w:tblPr>
      <w:tblGrid>
        <w:gridCol w:w="2518"/>
        <w:gridCol w:w="3969"/>
        <w:gridCol w:w="2841"/>
      </w:tblGrid>
      <w:tr w:rsidR="00946DAF" w:rsidTr="00037F7A">
        <w:tc>
          <w:tcPr>
            <w:tcW w:w="2518" w:type="dxa"/>
          </w:tcPr>
          <w:p w:rsidR="00946DAF" w:rsidRPr="00946DAF" w:rsidRDefault="00946DAF" w:rsidP="00902FA1">
            <w:pPr>
              <w:rPr>
                <w:b/>
              </w:rPr>
            </w:pPr>
            <w:r w:rsidRPr="00946DAF">
              <w:rPr>
                <w:b/>
              </w:rPr>
              <w:t>Interest or structure created</w:t>
            </w:r>
          </w:p>
        </w:tc>
        <w:tc>
          <w:tcPr>
            <w:tcW w:w="3969" w:type="dxa"/>
          </w:tcPr>
          <w:p w:rsidR="00946DAF" w:rsidRPr="00946DAF" w:rsidRDefault="00946DAF" w:rsidP="00902FA1">
            <w:pPr>
              <w:rPr>
                <w:b/>
              </w:rPr>
            </w:pPr>
            <w:r w:rsidRPr="00946DAF">
              <w:rPr>
                <w:b/>
              </w:rPr>
              <w:t>Suitability</w:t>
            </w:r>
          </w:p>
        </w:tc>
        <w:tc>
          <w:tcPr>
            <w:tcW w:w="2841" w:type="dxa"/>
          </w:tcPr>
          <w:p w:rsidR="00946DAF" w:rsidRPr="00946DAF" w:rsidRDefault="00946DAF" w:rsidP="00902FA1">
            <w:pPr>
              <w:rPr>
                <w:b/>
              </w:rPr>
            </w:pPr>
            <w:r>
              <w:rPr>
                <w:b/>
              </w:rPr>
              <w:t>Control mechanism(s)</w:t>
            </w:r>
          </w:p>
        </w:tc>
      </w:tr>
      <w:tr w:rsidR="00946DAF" w:rsidTr="00037F7A">
        <w:tc>
          <w:tcPr>
            <w:tcW w:w="2518" w:type="dxa"/>
          </w:tcPr>
          <w:p w:rsidR="00946DAF" w:rsidRDefault="00946DAF" w:rsidP="00902FA1">
            <w:r>
              <w:t>Complete transfer of freehold interest direct to an organisation</w:t>
            </w:r>
          </w:p>
        </w:tc>
        <w:tc>
          <w:tcPr>
            <w:tcW w:w="3969" w:type="dxa"/>
          </w:tcPr>
          <w:p w:rsidR="00946DAF" w:rsidRDefault="00283F18" w:rsidP="00902FA1">
            <w:r>
              <w:t>For large and bold schemes for national or regional quality facilities that don’t currently exist.</w:t>
            </w:r>
          </w:p>
          <w:p w:rsidR="00283F18" w:rsidRDefault="00283F18" w:rsidP="00902FA1">
            <w:r>
              <w:t>Where a major step change in the level of facility is to be provided.</w:t>
            </w:r>
          </w:p>
        </w:tc>
        <w:tc>
          <w:tcPr>
            <w:tcW w:w="2841" w:type="dxa"/>
          </w:tcPr>
          <w:p w:rsidR="00283F18" w:rsidRDefault="00283F18" w:rsidP="00902FA1">
            <w:r>
              <w:t>Claw back provisions</w:t>
            </w:r>
            <w:r w:rsidR="001D612D" w:rsidRPr="001D612D">
              <w:rPr>
                <w:vertAlign w:val="superscript"/>
              </w:rPr>
              <w:t>1</w:t>
            </w:r>
          </w:p>
          <w:p w:rsidR="00946DAF" w:rsidRDefault="00283F18" w:rsidP="00902FA1">
            <w:r>
              <w:t>Restrictive covenants</w:t>
            </w:r>
            <w:r w:rsidR="001D612D" w:rsidRPr="001D612D">
              <w:rPr>
                <w:vertAlign w:val="superscript"/>
              </w:rPr>
              <w:t>2</w:t>
            </w:r>
          </w:p>
          <w:p w:rsidR="00283F18" w:rsidRDefault="00283F18" w:rsidP="00902FA1">
            <w:r>
              <w:t>Buy back provisions</w:t>
            </w:r>
            <w:r w:rsidR="001D612D" w:rsidRPr="001D612D">
              <w:rPr>
                <w:vertAlign w:val="superscript"/>
              </w:rPr>
              <w:t>3</w:t>
            </w:r>
          </w:p>
        </w:tc>
      </w:tr>
      <w:tr w:rsidR="00946DAF" w:rsidTr="00037F7A">
        <w:tc>
          <w:tcPr>
            <w:tcW w:w="2518" w:type="dxa"/>
          </w:tcPr>
          <w:p w:rsidR="00946DAF" w:rsidRDefault="00946DAF" w:rsidP="00902FA1">
            <w:r>
              <w:t xml:space="preserve">Creation of a Charitable trust </w:t>
            </w:r>
          </w:p>
        </w:tc>
        <w:tc>
          <w:tcPr>
            <w:tcW w:w="3969" w:type="dxa"/>
          </w:tcPr>
          <w:p w:rsidR="00946DAF" w:rsidRDefault="00283F18" w:rsidP="00902FA1">
            <w:r>
              <w:t>For large and bold schemes where more than one organisation is involved and Where a major step change in the level of facility is to be provided.</w:t>
            </w:r>
          </w:p>
        </w:tc>
        <w:tc>
          <w:tcPr>
            <w:tcW w:w="2841" w:type="dxa"/>
          </w:tcPr>
          <w:p w:rsidR="00946DAF" w:rsidRDefault="00283F18" w:rsidP="00902FA1">
            <w:r>
              <w:t>Rules within the constitution of the trust.</w:t>
            </w:r>
          </w:p>
          <w:p w:rsidR="00283F18" w:rsidRDefault="00283F18" w:rsidP="00902FA1">
            <w:r>
              <w:t xml:space="preserve">Reversion of the asset to the Council in the event of failure or </w:t>
            </w:r>
            <w:r>
              <w:lastRenderedPageBreak/>
              <w:t>discontinuance.</w:t>
            </w:r>
          </w:p>
        </w:tc>
      </w:tr>
      <w:tr w:rsidR="00946DAF" w:rsidTr="00037F7A">
        <w:tc>
          <w:tcPr>
            <w:tcW w:w="2518" w:type="dxa"/>
          </w:tcPr>
          <w:p w:rsidR="00946DAF" w:rsidRDefault="00946DAF" w:rsidP="00902FA1">
            <w:r>
              <w:lastRenderedPageBreak/>
              <w:t>Creation of a special purpose vehicle (company)</w:t>
            </w:r>
          </w:p>
        </w:tc>
        <w:tc>
          <w:tcPr>
            <w:tcW w:w="3969" w:type="dxa"/>
          </w:tcPr>
          <w:p w:rsidR="00946DAF" w:rsidRDefault="00283F18" w:rsidP="00D91F62">
            <w:r>
              <w:t xml:space="preserve">For schemes where a number of interests are involved, where potential sale of part of an asset comprises part of the scheme and where the Council </w:t>
            </w:r>
            <w:r w:rsidR="00D91F62">
              <w:t>wants</w:t>
            </w:r>
            <w:r>
              <w:t xml:space="preserve"> to retain a controlling or coordinating interest in the asset(s)</w:t>
            </w:r>
          </w:p>
        </w:tc>
        <w:tc>
          <w:tcPr>
            <w:tcW w:w="2841" w:type="dxa"/>
          </w:tcPr>
          <w:p w:rsidR="00946DAF" w:rsidRDefault="00283F18" w:rsidP="00902FA1">
            <w:r>
              <w:t>Rules within the articles of the vehicle.</w:t>
            </w:r>
          </w:p>
          <w:p w:rsidR="00283F18" w:rsidRDefault="00283F18" w:rsidP="00902FA1">
            <w:r>
              <w:t xml:space="preserve">The control measures within whichever of these </w:t>
            </w:r>
            <w:r w:rsidR="00C12C22">
              <w:t>transfer mechanisms chosen for the vehicle.</w:t>
            </w:r>
          </w:p>
        </w:tc>
      </w:tr>
      <w:tr w:rsidR="00946DAF" w:rsidTr="00037F7A">
        <w:tc>
          <w:tcPr>
            <w:tcW w:w="2518" w:type="dxa"/>
          </w:tcPr>
          <w:p w:rsidR="00946DAF" w:rsidRDefault="00946DAF" w:rsidP="00902FA1">
            <w:r>
              <w:t>Long lease (eg 99 years)</w:t>
            </w:r>
          </w:p>
        </w:tc>
        <w:tc>
          <w:tcPr>
            <w:tcW w:w="3969" w:type="dxa"/>
          </w:tcPr>
          <w:p w:rsidR="00946DAF" w:rsidRDefault="00C12C22" w:rsidP="00902FA1">
            <w:r>
              <w:t xml:space="preserve">For ambitious schemes that </w:t>
            </w:r>
            <w:r w:rsidR="00D91F62">
              <w:t xml:space="preserve">provide major new facilities. </w:t>
            </w:r>
            <w:r>
              <w:t>Where a major step change in the level of facility is to be provided.</w:t>
            </w:r>
          </w:p>
        </w:tc>
        <w:tc>
          <w:tcPr>
            <w:tcW w:w="2841" w:type="dxa"/>
          </w:tcPr>
          <w:p w:rsidR="00946DAF" w:rsidRDefault="00EB54A7" w:rsidP="00902FA1">
            <w:r>
              <w:t>Use restrictions</w:t>
            </w:r>
            <w:r w:rsidR="001D612D" w:rsidRPr="001D612D">
              <w:rPr>
                <w:vertAlign w:val="superscript"/>
              </w:rPr>
              <w:t>4</w:t>
            </w:r>
          </w:p>
          <w:p w:rsidR="00EB54A7" w:rsidRDefault="00EB54A7" w:rsidP="00902FA1">
            <w:r>
              <w:t>Bar on dealing</w:t>
            </w:r>
            <w:r w:rsidR="001D612D" w:rsidRPr="001D612D">
              <w:rPr>
                <w:vertAlign w:val="superscript"/>
              </w:rPr>
              <w:t>5</w:t>
            </w:r>
          </w:p>
          <w:p w:rsidR="00EB54A7" w:rsidRDefault="00EB54A7" w:rsidP="00902FA1">
            <w:r>
              <w:t>Break clause(s)</w:t>
            </w:r>
            <w:r w:rsidR="001D612D" w:rsidRPr="001D612D">
              <w:rPr>
                <w:vertAlign w:val="superscript"/>
              </w:rPr>
              <w:t>6</w:t>
            </w:r>
          </w:p>
        </w:tc>
      </w:tr>
      <w:tr w:rsidR="00946DAF" w:rsidTr="00037F7A">
        <w:tc>
          <w:tcPr>
            <w:tcW w:w="2518" w:type="dxa"/>
          </w:tcPr>
          <w:p w:rsidR="00946DAF" w:rsidRDefault="00946DAF" w:rsidP="00902FA1">
            <w:r>
              <w:t>Medium term lease (eg 25 years)</w:t>
            </w:r>
          </w:p>
        </w:tc>
        <w:tc>
          <w:tcPr>
            <w:tcW w:w="3969" w:type="dxa"/>
          </w:tcPr>
          <w:p w:rsidR="00946DAF" w:rsidRDefault="00EB54A7" w:rsidP="00902FA1">
            <w:r>
              <w:t>For schemes where an upgrading or renewal of facilities is proposed.</w:t>
            </w:r>
          </w:p>
        </w:tc>
        <w:tc>
          <w:tcPr>
            <w:tcW w:w="2841" w:type="dxa"/>
          </w:tcPr>
          <w:p w:rsidR="00BE5BF8" w:rsidRDefault="00BE5BF8" w:rsidP="00BE5BF8">
            <w:r>
              <w:t>Use restrictions</w:t>
            </w:r>
            <w:r w:rsidRPr="001D612D">
              <w:rPr>
                <w:vertAlign w:val="superscript"/>
              </w:rPr>
              <w:t>4</w:t>
            </w:r>
          </w:p>
          <w:p w:rsidR="00BE5BF8" w:rsidRDefault="00BE5BF8" w:rsidP="00BE5BF8">
            <w:r>
              <w:t>Bar on dealing</w:t>
            </w:r>
            <w:r w:rsidRPr="001D612D">
              <w:rPr>
                <w:vertAlign w:val="superscript"/>
              </w:rPr>
              <w:t>5</w:t>
            </w:r>
          </w:p>
          <w:p w:rsidR="00946DAF" w:rsidRDefault="00BE5BF8" w:rsidP="00BE5BF8">
            <w:r>
              <w:t>Break clause(s)</w:t>
            </w:r>
            <w:r w:rsidRPr="001D612D">
              <w:rPr>
                <w:vertAlign w:val="superscript"/>
              </w:rPr>
              <w:t>6</w:t>
            </w:r>
          </w:p>
        </w:tc>
      </w:tr>
      <w:tr w:rsidR="00946DAF" w:rsidTr="00037F7A">
        <w:tc>
          <w:tcPr>
            <w:tcW w:w="2518" w:type="dxa"/>
          </w:tcPr>
          <w:p w:rsidR="00946DAF" w:rsidRDefault="00946DAF" w:rsidP="00902FA1">
            <w:r>
              <w:t>Short Term lease (eg 5 years)</w:t>
            </w:r>
          </w:p>
        </w:tc>
        <w:tc>
          <w:tcPr>
            <w:tcW w:w="3969" w:type="dxa"/>
          </w:tcPr>
          <w:p w:rsidR="00946DAF" w:rsidRDefault="00EB54A7" w:rsidP="00EB54A7">
            <w:r>
              <w:t>For schemes where a refurbishment or repair of facilities is proposed.</w:t>
            </w:r>
          </w:p>
        </w:tc>
        <w:tc>
          <w:tcPr>
            <w:tcW w:w="2841" w:type="dxa"/>
          </w:tcPr>
          <w:p w:rsidR="00BE5BF8" w:rsidRDefault="00BE5BF8" w:rsidP="00BE5BF8">
            <w:r>
              <w:t>Use restrictions</w:t>
            </w:r>
            <w:r w:rsidRPr="001D612D">
              <w:rPr>
                <w:vertAlign w:val="superscript"/>
              </w:rPr>
              <w:t>4</w:t>
            </w:r>
          </w:p>
          <w:p w:rsidR="00BE5BF8" w:rsidRDefault="00BE5BF8" w:rsidP="00BE5BF8">
            <w:r>
              <w:t>Bar on dealing</w:t>
            </w:r>
            <w:r w:rsidRPr="001D612D">
              <w:rPr>
                <w:vertAlign w:val="superscript"/>
              </w:rPr>
              <w:t>5</w:t>
            </w:r>
          </w:p>
          <w:p w:rsidR="00946DAF" w:rsidRDefault="00946DAF" w:rsidP="00BE5BF8"/>
        </w:tc>
      </w:tr>
    </w:tbl>
    <w:p w:rsidR="0060152E" w:rsidRDefault="00872A77" w:rsidP="00037F7A">
      <w:pPr>
        <w:spacing w:before="120"/>
      </w:pPr>
      <w:r>
        <w:rPr>
          <w:noProof/>
          <w:lang w:eastAsia="en-GB"/>
        </w:rPr>
        <w:drawing>
          <wp:anchor distT="0" distB="0" distL="114300" distR="114300" simplePos="0" relativeHeight="251666432" behindDoc="0" locked="0" layoutInCell="1" allowOverlap="1" wp14:anchorId="0C779BD0" wp14:editId="63A12558">
            <wp:simplePos x="0" y="0"/>
            <wp:positionH relativeFrom="column">
              <wp:posOffset>4152900</wp:posOffset>
            </wp:positionH>
            <wp:positionV relativeFrom="paragraph">
              <wp:posOffset>775335</wp:posOffset>
            </wp:positionV>
            <wp:extent cx="1537335" cy="1028700"/>
            <wp:effectExtent l="0" t="0" r="5715" b="0"/>
            <wp:wrapSquare wrapText="bothSides"/>
            <wp:docPr id="7" name="Picture 7" descr="C:\Users\AWhite\AppData\Local\Microsoft\Windows\Temporary Internet Files\Content.IE5\STPV29GD\MP9004483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hite\AppData\Local\Microsoft\Windows\Temporary Internet Files\Content.IE5\STPV29GD\MP90044833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73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4A7">
        <w:t>In all cases a conditional contract may be appropriate. This means the Council and one or more organisations having a contract that looks forward to the transfer of an asset in the event that conditions are met, for instance to grant a lease when a club secures a grant for the work envisaged.</w:t>
      </w:r>
    </w:p>
    <w:p w:rsidR="00EB54A7" w:rsidRDefault="00EB54A7" w:rsidP="00902FA1">
      <w:r>
        <w:t xml:space="preserve">In all cases it must be an obligation on the transferee to actually complete the work (if applicable) </w:t>
      </w:r>
      <w:r w:rsidR="00872A77">
        <w:t xml:space="preserve">to appropriate standards and timescale </w:t>
      </w:r>
      <w:r>
        <w:t xml:space="preserve">and </w:t>
      </w:r>
      <w:r w:rsidR="00872A77">
        <w:t xml:space="preserve">to </w:t>
      </w:r>
      <w:r>
        <w:t>deliver the</w:t>
      </w:r>
      <w:r w:rsidR="00D91F62">
        <w:t xml:space="preserve"> additional</w:t>
      </w:r>
      <w:r>
        <w:t xml:space="preserve"> community benefits proposed.</w:t>
      </w:r>
    </w:p>
    <w:p w:rsidR="00CA5DDF" w:rsidRDefault="009E105F" w:rsidP="00FD3A76">
      <w:r>
        <w:rPr>
          <w:noProof/>
          <w:lang w:eastAsia="en-GB"/>
        </w:rPr>
        <mc:AlternateContent>
          <mc:Choice Requires="wps">
            <w:drawing>
              <wp:anchor distT="0" distB="0" distL="114300" distR="114300" simplePos="0" relativeHeight="251662336" behindDoc="0" locked="0" layoutInCell="1" allowOverlap="1" wp14:anchorId="3822964F" wp14:editId="21ED1969">
                <wp:simplePos x="0" y="0"/>
                <wp:positionH relativeFrom="column">
                  <wp:posOffset>-47625</wp:posOffset>
                </wp:positionH>
                <wp:positionV relativeFrom="paragraph">
                  <wp:posOffset>851535</wp:posOffset>
                </wp:positionV>
                <wp:extent cx="6162675" cy="2990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990850"/>
                        </a:xfrm>
                        <a:prstGeom prst="rect">
                          <a:avLst/>
                        </a:prstGeom>
                        <a:solidFill>
                          <a:schemeClr val="bg1">
                            <a:lumMod val="75000"/>
                            <a:alpha val="52000"/>
                          </a:schemeClr>
                        </a:solidFill>
                        <a:ln w="9525">
                          <a:solidFill>
                            <a:srgbClr val="000000"/>
                          </a:solidFill>
                          <a:miter lim="800000"/>
                          <a:headEnd/>
                          <a:tailEnd/>
                        </a:ln>
                      </wps:spPr>
                      <wps:txbx>
                        <w:txbxContent>
                          <w:p w:rsidR="00BE5BF8" w:rsidRPr="009E105F" w:rsidRDefault="00BE5BF8" w:rsidP="00BE5BF8">
                            <w:pPr>
                              <w:spacing w:after="0"/>
                              <w:ind w:left="284" w:hanging="284"/>
                              <w:rPr>
                                <w:sz w:val="22"/>
                              </w:rPr>
                            </w:pPr>
                            <w:r w:rsidRPr="009E105F">
                              <w:rPr>
                                <w:sz w:val="22"/>
                              </w:rPr>
                              <w:t>Footnotes:</w:t>
                            </w:r>
                          </w:p>
                          <w:p w:rsidR="00BE5BF8" w:rsidRPr="009E105F" w:rsidRDefault="00BE5BF8" w:rsidP="00BE5BF8">
                            <w:pPr>
                              <w:ind w:left="284" w:hanging="284"/>
                              <w:rPr>
                                <w:sz w:val="22"/>
                              </w:rPr>
                            </w:pPr>
                            <w:r w:rsidRPr="009E105F">
                              <w:rPr>
                                <w:sz w:val="22"/>
                              </w:rPr>
                              <w:t>1</w:t>
                            </w:r>
                            <w:r w:rsidRPr="009E105F">
                              <w:rPr>
                                <w:sz w:val="22"/>
                              </w:rPr>
                              <w:tab/>
                              <w:t>A contractual requirement to pay to the Council all or the proportion of any sale proceeds or increase in value if the asset is sold or altered in the future.</w:t>
                            </w:r>
                          </w:p>
                          <w:p w:rsidR="00BE5BF8" w:rsidRPr="009E105F" w:rsidRDefault="00BE5BF8" w:rsidP="00BE5BF8">
                            <w:pPr>
                              <w:ind w:left="284" w:hanging="284"/>
                              <w:rPr>
                                <w:sz w:val="22"/>
                              </w:rPr>
                            </w:pPr>
                            <w:r w:rsidRPr="009E105F">
                              <w:rPr>
                                <w:sz w:val="22"/>
                              </w:rPr>
                              <w:t>2</w:t>
                            </w:r>
                            <w:r w:rsidRPr="009E105F">
                              <w:rPr>
                                <w:sz w:val="22"/>
                              </w:rPr>
                              <w:tab/>
                              <w:t>A contractual requirement to do or not do particular things on the asset. These can be challenged and are sometimes problematic to enforce.</w:t>
                            </w:r>
                          </w:p>
                          <w:p w:rsidR="00BE5BF8" w:rsidRPr="009E105F" w:rsidRDefault="00BE5BF8" w:rsidP="00BE5BF8">
                            <w:pPr>
                              <w:ind w:left="284" w:hanging="284"/>
                              <w:rPr>
                                <w:sz w:val="22"/>
                              </w:rPr>
                            </w:pPr>
                            <w:r w:rsidRPr="009E105F">
                              <w:rPr>
                                <w:sz w:val="22"/>
                              </w:rPr>
                              <w:t>3</w:t>
                            </w:r>
                            <w:r w:rsidRPr="009E105F">
                              <w:rPr>
                                <w:sz w:val="22"/>
                              </w:rPr>
                              <w:tab/>
                              <w:t>A contractual obligation to allow the council to buy back the land if it is no longer needed for the scheme proposed at the original or another value.</w:t>
                            </w:r>
                          </w:p>
                          <w:p w:rsidR="00BE5BF8" w:rsidRPr="009E105F" w:rsidRDefault="00BE5BF8" w:rsidP="00BE5BF8">
                            <w:pPr>
                              <w:ind w:left="284" w:hanging="284"/>
                              <w:rPr>
                                <w:sz w:val="22"/>
                              </w:rPr>
                            </w:pPr>
                            <w:r w:rsidRPr="009E105F">
                              <w:rPr>
                                <w:sz w:val="22"/>
                              </w:rPr>
                              <w:t>4</w:t>
                            </w:r>
                            <w:r w:rsidRPr="009E105F">
                              <w:rPr>
                                <w:sz w:val="22"/>
                              </w:rPr>
                              <w:tab/>
                              <w:t>Restrictions in the lease to prevent other uses of the site.</w:t>
                            </w:r>
                          </w:p>
                          <w:p w:rsidR="00BE5BF8" w:rsidRPr="009E105F" w:rsidRDefault="00BE5BF8" w:rsidP="00BE5BF8">
                            <w:pPr>
                              <w:ind w:left="284" w:hanging="284"/>
                              <w:rPr>
                                <w:sz w:val="22"/>
                              </w:rPr>
                            </w:pPr>
                            <w:r w:rsidRPr="009E105F">
                              <w:rPr>
                                <w:sz w:val="22"/>
                              </w:rPr>
                              <w:t>5</w:t>
                            </w:r>
                            <w:r w:rsidRPr="009E105F">
                              <w:rPr>
                                <w:sz w:val="22"/>
                              </w:rPr>
                              <w:tab/>
                              <w:t>Restrictions in the lease preventing it being passed on to others or encumbered for example by mortgages or subtenants.</w:t>
                            </w:r>
                          </w:p>
                          <w:p w:rsidR="00BE5BF8" w:rsidRPr="009E105F" w:rsidRDefault="00BE5BF8" w:rsidP="00BE5BF8">
                            <w:pPr>
                              <w:ind w:left="284" w:hanging="284"/>
                              <w:rPr>
                                <w:sz w:val="22"/>
                              </w:rPr>
                            </w:pPr>
                            <w:r w:rsidRPr="009E105F">
                              <w:rPr>
                                <w:sz w:val="22"/>
                              </w:rPr>
                              <w:t>6</w:t>
                            </w:r>
                            <w:r w:rsidRPr="009E105F">
                              <w:rPr>
                                <w:sz w:val="22"/>
                              </w:rPr>
                              <w:tab/>
                              <w:t>Contractual clause allowing the Council to end the lease if proposed works are not done or if some other event does or does not happen.</w:t>
                            </w:r>
                          </w:p>
                          <w:p w:rsidR="00BE5BF8" w:rsidRDefault="00BE5B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67.05pt;width:485.2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" fillcolor="#bfbfbf [2412]">
                <v:fill opacity="34181f"/>
                <v:textbox>
                  <w:txbxContent>
                    <w:p w:rsidR="00BE5BF8" w:rsidRPr="009E105F" w:rsidRDefault="00BE5BF8" w:rsidP="00BE5BF8">
                      <w:pPr>
                        <w:spacing w:after="0"/>
                        <w:ind w:left="284" w:hanging="284"/>
                        <w:rPr>
                          <w:sz w:val="22"/>
                        </w:rPr>
                      </w:pPr>
                      <w:r w:rsidRPr="009E105F">
                        <w:rPr>
                          <w:sz w:val="22"/>
                        </w:rPr>
                        <w:t>Footnotes:</w:t>
                      </w:r>
                    </w:p>
                    <w:p w:rsidR="00BE5BF8" w:rsidRPr="009E105F" w:rsidRDefault="00BE5BF8" w:rsidP="00BE5BF8">
                      <w:pPr>
                        <w:ind w:left="284" w:hanging="284"/>
                        <w:rPr>
                          <w:sz w:val="22"/>
                        </w:rPr>
                      </w:pPr>
                      <w:r w:rsidRPr="009E105F">
                        <w:rPr>
                          <w:sz w:val="22"/>
                        </w:rPr>
                        <w:t>1</w:t>
                      </w:r>
                      <w:r w:rsidRPr="009E105F">
                        <w:rPr>
                          <w:sz w:val="22"/>
                        </w:rPr>
                        <w:tab/>
                        <w:t>A contractual requirement to pay to the Council all or the proportion of any sale proceeds or increase in value if the asset is sold or altered in the future.</w:t>
                      </w:r>
                    </w:p>
                    <w:p w:rsidR="00BE5BF8" w:rsidRPr="009E105F" w:rsidRDefault="00BE5BF8" w:rsidP="00BE5BF8">
                      <w:pPr>
                        <w:ind w:left="284" w:hanging="284"/>
                        <w:rPr>
                          <w:sz w:val="22"/>
                        </w:rPr>
                      </w:pPr>
                      <w:r w:rsidRPr="009E105F">
                        <w:rPr>
                          <w:sz w:val="22"/>
                        </w:rPr>
                        <w:t>2</w:t>
                      </w:r>
                      <w:r w:rsidRPr="009E105F">
                        <w:rPr>
                          <w:sz w:val="22"/>
                        </w:rPr>
                        <w:tab/>
                        <w:t>A contractual requirement to do or not do particular things on the asset. These can be challenged and are sometimes problematic to enforce.</w:t>
                      </w:r>
                    </w:p>
                    <w:p w:rsidR="00BE5BF8" w:rsidRPr="009E105F" w:rsidRDefault="00BE5BF8" w:rsidP="00BE5BF8">
                      <w:pPr>
                        <w:ind w:left="284" w:hanging="284"/>
                        <w:rPr>
                          <w:sz w:val="22"/>
                        </w:rPr>
                      </w:pPr>
                      <w:r w:rsidRPr="009E105F">
                        <w:rPr>
                          <w:sz w:val="22"/>
                        </w:rPr>
                        <w:t>3</w:t>
                      </w:r>
                      <w:r w:rsidRPr="009E105F">
                        <w:rPr>
                          <w:sz w:val="22"/>
                        </w:rPr>
                        <w:tab/>
                        <w:t>A contractual obligation to allow the council to buy back the land if it is no longer needed for the scheme proposed at the original or another value.</w:t>
                      </w:r>
                    </w:p>
                    <w:p w:rsidR="00BE5BF8" w:rsidRPr="009E105F" w:rsidRDefault="00BE5BF8" w:rsidP="00BE5BF8">
                      <w:pPr>
                        <w:ind w:left="284" w:hanging="284"/>
                        <w:rPr>
                          <w:sz w:val="22"/>
                        </w:rPr>
                      </w:pPr>
                      <w:r w:rsidRPr="009E105F">
                        <w:rPr>
                          <w:sz w:val="22"/>
                        </w:rPr>
                        <w:t>4</w:t>
                      </w:r>
                      <w:r w:rsidRPr="009E105F">
                        <w:rPr>
                          <w:sz w:val="22"/>
                        </w:rPr>
                        <w:tab/>
                        <w:t>Restrictions in the lease to prevent other uses of the site.</w:t>
                      </w:r>
                    </w:p>
                    <w:p w:rsidR="00BE5BF8" w:rsidRPr="009E105F" w:rsidRDefault="00BE5BF8" w:rsidP="00BE5BF8">
                      <w:pPr>
                        <w:ind w:left="284" w:hanging="284"/>
                        <w:rPr>
                          <w:sz w:val="22"/>
                        </w:rPr>
                      </w:pPr>
                      <w:r w:rsidRPr="009E105F">
                        <w:rPr>
                          <w:sz w:val="22"/>
                        </w:rPr>
                        <w:t>5</w:t>
                      </w:r>
                      <w:r w:rsidRPr="009E105F">
                        <w:rPr>
                          <w:sz w:val="22"/>
                        </w:rPr>
                        <w:tab/>
                        <w:t>Restrictions in the lease preventing it being passed on to others or encumbered for example by mortgages or subtenants.</w:t>
                      </w:r>
                    </w:p>
                    <w:p w:rsidR="00BE5BF8" w:rsidRPr="009E105F" w:rsidRDefault="00BE5BF8" w:rsidP="00BE5BF8">
                      <w:pPr>
                        <w:ind w:left="284" w:hanging="284"/>
                        <w:rPr>
                          <w:sz w:val="22"/>
                        </w:rPr>
                      </w:pPr>
                      <w:r w:rsidRPr="009E105F">
                        <w:rPr>
                          <w:sz w:val="22"/>
                        </w:rPr>
                        <w:t>6</w:t>
                      </w:r>
                      <w:r w:rsidRPr="009E105F">
                        <w:rPr>
                          <w:sz w:val="22"/>
                        </w:rPr>
                        <w:tab/>
                        <w:t>Contractual clause allowing the Council to end the lease if proposed works are not done or if some other event does or does not happen.</w:t>
                      </w:r>
                    </w:p>
                    <w:p w:rsidR="00BE5BF8" w:rsidRDefault="00BE5BF8"/>
                  </w:txbxContent>
                </v:textbox>
              </v:shape>
            </w:pict>
          </mc:Fallback>
        </mc:AlternateContent>
      </w:r>
      <w:r w:rsidR="00BC2B57">
        <w:t>In the case of a lease the Council may elect to set a peppercorn rent, concessionary rent or a stepped rent depending on the circumstances. Where gains to community benefits are limited the Council should set rent at open market levels and allow CAROS to balance objectives, if it is applicable.</w:t>
      </w:r>
    </w:p>
    <w:p w:rsidR="001D612D" w:rsidRDefault="001D612D" w:rsidP="00902FA1"/>
    <w:p w:rsidR="001D612D" w:rsidRDefault="001D612D" w:rsidP="00902FA1"/>
    <w:p w:rsidR="001D612D" w:rsidRDefault="001D612D" w:rsidP="00902FA1"/>
    <w:p w:rsidR="00BE5BF8" w:rsidRDefault="00BE5BF8" w:rsidP="00902FA1"/>
    <w:p w:rsidR="00BE5BF8" w:rsidRDefault="00BE5BF8" w:rsidP="00902FA1"/>
    <w:p w:rsidR="00BE5BF8" w:rsidRDefault="00BE5BF8" w:rsidP="00902FA1"/>
    <w:p w:rsidR="00037F7A" w:rsidRDefault="00037F7A" w:rsidP="00704E49">
      <w:pPr>
        <w:pStyle w:val="Heading1"/>
      </w:pPr>
      <w:bookmarkStart w:id="10" w:name="_Toc386181465"/>
    </w:p>
    <w:p w:rsidR="00037F7A" w:rsidRDefault="00037F7A">
      <w:pPr>
        <w:rPr>
          <w:rFonts w:asciiTheme="majorHAnsi" w:eastAsiaTheme="majorEastAsia" w:hAnsiTheme="majorHAnsi" w:cstheme="majorBidi"/>
          <w:b/>
          <w:bCs/>
          <w:color w:val="365F91" w:themeColor="accent1" w:themeShade="BF"/>
          <w:sz w:val="28"/>
          <w:szCs w:val="28"/>
        </w:rPr>
      </w:pPr>
      <w:r>
        <w:br w:type="page"/>
      </w:r>
    </w:p>
    <w:p w:rsidR="00902FA1" w:rsidRDefault="00902FA1" w:rsidP="00704E49">
      <w:pPr>
        <w:pStyle w:val="Heading1"/>
      </w:pPr>
      <w:r>
        <w:lastRenderedPageBreak/>
        <w:t>Requirements</w:t>
      </w:r>
      <w:bookmarkEnd w:id="10"/>
    </w:p>
    <w:p w:rsidR="00902FA1" w:rsidRDefault="00C85721" w:rsidP="00C85721">
      <w:r>
        <w:t xml:space="preserve">The Council has obligations to responsibly manage its assets. It must not be drawn into simply giving them away because organisations do not want to pay rent or because managing them is time consuming. In every case a proposal to be supported by an asset transfer </w:t>
      </w:r>
      <w:r w:rsidRPr="00C85721">
        <w:rPr>
          <w:b/>
        </w:rPr>
        <w:t>must</w:t>
      </w:r>
      <w:r>
        <w:t>:</w:t>
      </w:r>
    </w:p>
    <w:p w:rsidR="00C85721" w:rsidRDefault="00C85721" w:rsidP="00C85721">
      <w:pPr>
        <w:pStyle w:val="ListParagraph"/>
        <w:numPr>
          <w:ilvl w:val="0"/>
          <w:numId w:val="5"/>
        </w:numPr>
      </w:pPr>
      <w:r>
        <w:t>Be based on a proposal to provide new or improve</w:t>
      </w:r>
      <w:r w:rsidR="00D91F62">
        <w:t>d</w:t>
      </w:r>
      <w:r>
        <w:t xml:space="preserve"> community facilities</w:t>
      </w:r>
      <w:r w:rsidR="00872A77">
        <w:t>, and;</w:t>
      </w:r>
    </w:p>
    <w:p w:rsidR="00C85721" w:rsidRDefault="00C85721" w:rsidP="00C85721">
      <w:pPr>
        <w:pStyle w:val="ListParagraph"/>
        <w:numPr>
          <w:ilvl w:val="0"/>
          <w:numId w:val="5"/>
        </w:numPr>
      </w:pPr>
      <w:r>
        <w:t>Include appropriate legal safeguards to ensure that this happens</w:t>
      </w:r>
      <w:r w:rsidR="00872A77">
        <w:t>, and;</w:t>
      </w:r>
    </w:p>
    <w:p w:rsidR="00141353" w:rsidRDefault="00141353" w:rsidP="00C85721">
      <w:pPr>
        <w:pStyle w:val="ListParagraph"/>
        <w:numPr>
          <w:ilvl w:val="0"/>
          <w:numId w:val="5"/>
        </w:numPr>
      </w:pPr>
      <w:r>
        <w:t>Be for a project that would not otherwise be deliverable, and;</w:t>
      </w:r>
    </w:p>
    <w:p w:rsidR="00C85721" w:rsidRDefault="00C85721" w:rsidP="00C85721">
      <w:pPr>
        <w:pStyle w:val="ListParagraph"/>
        <w:numPr>
          <w:ilvl w:val="0"/>
          <w:numId w:val="5"/>
        </w:numPr>
      </w:pPr>
      <w:r>
        <w:t>Be to a community  trust, charity or other community organisation</w:t>
      </w:r>
      <w:r w:rsidR="00872A77">
        <w:t>, and;</w:t>
      </w:r>
    </w:p>
    <w:p w:rsidR="00C85721" w:rsidRDefault="00C85721" w:rsidP="00C85721">
      <w:pPr>
        <w:pStyle w:val="ListParagraph"/>
        <w:numPr>
          <w:ilvl w:val="0"/>
          <w:numId w:val="5"/>
        </w:numPr>
      </w:pPr>
      <w:r>
        <w:t>Include details to verify that the proposals are sustainable for the period of the transfer</w:t>
      </w:r>
    </w:p>
    <w:p w:rsidR="00902FA1" w:rsidRDefault="00C85721" w:rsidP="00C85721">
      <w:r>
        <w:t xml:space="preserve"> In every case a proposal to be supported by an asset transfer </w:t>
      </w:r>
      <w:r>
        <w:rPr>
          <w:b/>
        </w:rPr>
        <w:t>should</w:t>
      </w:r>
      <w:r>
        <w:t>:</w:t>
      </w:r>
    </w:p>
    <w:p w:rsidR="00FD0580" w:rsidRDefault="00FD0580" w:rsidP="00FD0580">
      <w:pPr>
        <w:pStyle w:val="ListParagraph"/>
        <w:numPr>
          <w:ilvl w:val="0"/>
          <w:numId w:val="6"/>
        </w:numPr>
      </w:pPr>
      <w:r>
        <w:t>Seek to maximise the benefits to the community</w:t>
      </w:r>
    </w:p>
    <w:p w:rsidR="00C85721" w:rsidRDefault="00EB48C5" w:rsidP="00EB48C5">
      <w:pPr>
        <w:pStyle w:val="ListParagraph"/>
        <w:numPr>
          <w:ilvl w:val="0"/>
          <w:numId w:val="6"/>
        </w:numPr>
      </w:pPr>
      <w:r>
        <w:t>Include</w:t>
      </w:r>
      <w:r w:rsidR="00872A77">
        <w:t xml:space="preserve"> appropriate indications of support from planners, funders, regulatory bodies and the like</w:t>
      </w:r>
    </w:p>
    <w:p w:rsidR="00872A77" w:rsidRPr="00902FA1" w:rsidRDefault="00872A77" w:rsidP="00EB48C5">
      <w:pPr>
        <w:pStyle w:val="ListParagraph"/>
        <w:numPr>
          <w:ilvl w:val="0"/>
          <w:numId w:val="6"/>
        </w:numPr>
      </w:pPr>
      <w:r>
        <w:t>Include appropriate consideration for any assets that are required.</w:t>
      </w:r>
    </w:p>
    <w:p w:rsidR="00EB48C5" w:rsidRDefault="00EB48C5" w:rsidP="00704E49">
      <w:pPr>
        <w:pStyle w:val="Heading1"/>
      </w:pPr>
      <w:bookmarkStart w:id="11" w:name="_Toc386181466"/>
      <w:r>
        <w:t>Limiting Factors</w:t>
      </w:r>
      <w:bookmarkEnd w:id="11"/>
    </w:p>
    <w:p w:rsidR="00EB48C5" w:rsidRDefault="00EB48C5" w:rsidP="00EB48C5">
      <w:r>
        <w:t>The Council has obligations to responsibly manage its assets. It must not be drawn into the transfer of assets that would prejudice other corporate or community objectives or interests. Limiting factors may include:</w:t>
      </w:r>
    </w:p>
    <w:p w:rsidR="00EB48C5" w:rsidRDefault="00EB48C5" w:rsidP="004F0598">
      <w:pPr>
        <w:pStyle w:val="ListParagraph"/>
        <w:numPr>
          <w:ilvl w:val="0"/>
          <w:numId w:val="7"/>
        </w:numPr>
      </w:pPr>
      <w:r>
        <w:t>Limiting the potential of the Council to deliver on area action or masterplans</w:t>
      </w:r>
    </w:p>
    <w:p w:rsidR="00EB48C5" w:rsidRDefault="00D91F62" w:rsidP="004F0598">
      <w:pPr>
        <w:pStyle w:val="ListParagraph"/>
        <w:numPr>
          <w:ilvl w:val="0"/>
          <w:numId w:val="7"/>
        </w:numPr>
      </w:pPr>
      <w:r>
        <w:t>Limiting the potential to d</w:t>
      </w:r>
      <w:r w:rsidR="00EB48C5">
        <w:t>evelop other facilities or services</w:t>
      </w:r>
    </w:p>
    <w:p w:rsidR="00EB48C5" w:rsidRDefault="00EB48C5" w:rsidP="004F0598">
      <w:pPr>
        <w:pStyle w:val="ListParagraph"/>
        <w:numPr>
          <w:ilvl w:val="0"/>
          <w:numId w:val="7"/>
        </w:numPr>
      </w:pPr>
      <w:r>
        <w:t>Disproportionately large effect on the potential or value of adjoining sites</w:t>
      </w:r>
    </w:p>
    <w:p w:rsidR="00EB48C5" w:rsidRDefault="004F0598" w:rsidP="004F0598">
      <w:pPr>
        <w:pStyle w:val="ListParagraph"/>
        <w:numPr>
          <w:ilvl w:val="0"/>
          <w:numId w:val="7"/>
        </w:numPr>
      </w:pPr>
      <w:r>
        <w:t>Prevent</w:t>
      </w:r>
      <w:r w:rsidR="00D91F62">
        <w:t>ing</w:t>
      </w:r>
      <w:r>
        <w:t xml:space="preserve"> a current or future disposal of land that would offer a more substantial community benefit</w:t>
      </w:r>
    </w:p>
    <w:p w:rsidR="005C1841" w:rsidRDefault="00704E49" w:rsidP="00704E49">
      <w:pPr>
        <w:pStyle w:val="Heading1"/>
      </w:pPr>
      <w:bookmarkStart w:id="12" w:name="_Toc386181467"/>
      <w:r>
        <w:t>Policy</w:t>
      </w:r>
      <w:bookmarkEnd w:id="12"/>
    </w:p>
    <w:p w:rsidR="00704E49" w:rsidRDefault="00444F2D" w:rsidP="007459C2">
      <w:pPr>
        <w:spacing w:after="0"/>
      </w:pPr>
      <w:r>
        <w:rPr>
          <w:noProof/>
          <w:lang w:eastAsia="en-GB"/>
        </w:rPr>
        <mc:AlternateContent>
          <mc:Choice Requires="wps">
            <w:drawing>
              <wp:anchor distT="0" distB="0" distL="114300" distR="114300" simplePos="0" relativeHeight="251657215" behindDoc="0" locked="0" layoutInCell="1" allowOverlap="1" wp14:anchorId="1DB9BD9A" wp14:editId="79AB8D0A">
                <wp:simplePos x="0" y="0"/>
                <wp:positionH relativeFrom="column">
                  <wp:posOffset>-38100</wp:posOffset>
                </wp:positionH>
                <wp:positionV relativeFrom="paragraph">
                  <wp:posOffset>22860</wp:posOffset>
                </wp:positionV>
                <wp:extent cx="5353050" cy="16287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628775"/>
                        </a:xfrm>
                        <a:prstGeom prst="rect">
                          <a:avLst/>
                        </a:prstGeom>
                        <a:solidFill>
                          <a:schemeClr val="accent6">
                            <a:lumMod val="40000"/>
                            <a:lumOff val="60000"/>
                          </a:schemeClr>
                        </a:solidFill>
                        <a:ln w="9525">
                          <a:solidFill>
                            <a:srgbClr val="000000"/>
                          </a:solidFill>
                          <a:miter lim="800000"/>
                          <a:headEnd/>
                          <a:tailEnd/>
                        </a:ln>
                      </wps:spPr>
                      <wps:txbx>
                        <w:txbxContent>
                          <w:p w:rsidR="00444F2D" w:rsidRDefault="00444F2D" w:rsidP="00444F2D">
                            <w:pPr>
                              <w:spacing w:after="0"/>
                            </w:pPr>
                            <w:r>
                              <w:t>The Council will transfer land to community organisations where:</w:t>
                            </w:r>
                          </w:p>
                          <w:p w:rsidR="00444F2D" w:rsidRDefault="00444F2D" w:rsidP="00444F2D">
                            <w:pPr>
                              <w:pStyle w:val="ListParagraph"/>
                              <w:numPr>
                                <w:ilvl w:val="0"/>
                                <w:numId w:val="8"/>
                              </w:numPr>
                              <w:spacing w:after="0"/>
                            </w:pPr>
                            <w:r>
                              <w:t>All of the mandatory requirements are met, and;</w:t>
                            </w:r>
                          </w:p>
                          <w:p w:rsidR="00444F2D" w:rsidRDefault="00444F2D" w:rsidP="00444F2D">
                            <w:pPr>
                              <w:pStyle w:val="ListParagraph"/>
                              <w:numPr>
                                <w:ilvl w:val="0"/>
                                <w:numId w:val="8"/>
                              </w:numPr>
                              <w:spacing w:after="0"/>
                            </w:pPr>
                            <w:r>
                              <w:t>The discretionary requirements are in proportion to the interest and terms proposed, and;</w:t>
                            </w:r>
                          </w:p>
                          <w:p w:rsidR="00444F2D" w:rsidRDefault="00444F2D" w:rsidP="00444F2D">
                            <w:pPr>
                              <w:pStyle w:val="ListParagraph"/>
                              <w:numPr>
                                <w:ilvl w:val="0"/>
                                <w:numId w:val="8"/>
                              </w:numPr>
                              <w:spacing w:after="0"/>
                            </w:pPr>
                            <w:r>
                              <w:t>The benefits are in proportion to any limiting factors, and;</w:t>
                            </w:r>
                          </w:p>
                          <w:p w:rsidR="00444F2D" w:rsidRDefault="00444F2D" w:rsidP="00444F2D">
                            <w:pPr>
                              <w:pStyle w:val="ListParagraph"/>
                              <w:numPr>
                                <w:ilvl w:val="0"/>
                                <w:numId w:val="8"/>
                              </w:numPr>
                              <w:spacing w:after="0"/>
                            </w:pPr>
                            <w:r>
                              <w:t>The nature and terms of the transfer are proportionate to the community benefits and to any of the limiting factors.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pt;margin-top:1.8pt;width:421.5pt;height:128.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" fillcolor="#fbd4b4 [1305]">
                <v:textbox>
                  <w:txbxContent>
                    <w:p w:rsidR="00444F2D" w:rsidRDefault="00444F2D" w:rsidP="00444F2D">
                      <w:pPr>
                        <w:spacing w:after="0"/>
                      </w:pPr>
                      <w:r>
                        <w:t>The Council will transfer land to community organisations where:</w:t>
                      </w:r>
                    </w:p>
                    <w:p w:rsidR="00444F2D" w:rsidRDefault="00444F2D" w:rsidP="00444F2D">
                      <w:pPr>
                        <w:pStyle w:val="ListParagraph"/>
                        <w:numPr>
                          <w:ilvl w:val="0"/>
                          <w:numId w:val="8"/>
                        </w:numPr>
                        <w:spacing w:after="0"/>
                      </w:pPr>
                      <w:r>
                        <w:t>All of the mandatory requirements are met, and;</w:t>
                      </w:r>
                    </w:p>
                    <w:p w:rsidR="00444F2D" w:rsidRDefault="00444F2D" w:rsidP="00444F2D">
                      <w:pPr>
                        <w:pStyle w:val="ListParagraph"/>
                        <w:numPr>
                          <w:ilvl w:val="0"/>
                          <w:numId w:val="8"/>
                        </w:numPr>
                        <w:spacing w:after="0"/>
                      </w:pPr>
                      <w:r>
                        <w:t>The discretionary requirements are in proportion to the interest and terms proposed, and;</w:t>
                      </w:r>
                    </w:p>
                    <w:p w:rsidR="00444F2D" w:rsidRDefault="00444F2D" w:rsidP="00444F2D">
                      <w:pPr>
                        <w:pStyle w:val="ListParagraph"/>
                        <w:numPr>
                          <w:ilvl w:val="0"/>
                          <w:numId w:val="8"/>
                        </w:numPr>
                        <w:spacing w:after="0"/>
                      </w:pPr>
                      <w:r>
                        <w:t>The benefits are in proportion to any limiting factors, and;</w:t>
                      </w:r>
                    </w:p>
                    <w:p w:rsidR="00444F2D" w:rsidRDefault="00444F2D" w:rsidP="00444F2D">
                      <w:pPr>
                        <w:pStyle w:val="ListParagraph"/>
                        <w:numPr>
                          <w:ilvl w:val="0"/>
                          <w:numId w:val="8"/>
                        </w:numPr>
                        <w:spacing w:after="0"/>
                      </w:pPr>
                      <w:r>
                        <w:t>The nature and terms of the transfer are proportionate to the community benefits and to any of the limiting factors.</w:t>
                      </w:r>
                    </w:p>
                  </w:txbxContent>
                </v:textbox>
                <w10:wrap type="square"/>
              </v:shape>
            </w:pict>
          </mc:Fallback>
        </mc:AlternateContent>
      </w:r>
    </w:p>
    <w:p w:rsidR="00444F2D" w:rsidRDefault="00444F2D" w:rsidP="007459C2">
      <w:pPr>
        <w:spacing w:after="0"/>
      </w:pPr>
    </w:p>
    <w:p w:rsidR="00444F2D" w:rsidRDefault="00444F2D" w:rsidP="007459C2">
      <w:pPr>
        <w:spacing w:after="0"/>
      </w:pPr>
    </w:p>
    <w:p w:rsidR="00210182" w:rsidRDefault="00210182">
      <w:pPr>
        <w:rPr>
          <w:rFonts w:asciiTheme="majorHAnsi" w:eastAsiaTheme="majorEastAsia" w:hAnsiTheme="majorHAnsi" w:cstheme="majorBidi"/>
          <w:b/>
          <w:bCs/>
          <w:color w:val="365F91" w:themeColor="accent1" w:themeShade="BF"/>
          <w:sz w:val="28"/>
          <w:szCs w:val="28"/>
        </w:rPr>
      </w:pPr>
      <w:bookmarkStart w:id="13" w:name="_Toc386181468"/>
      <w:r>
        <w:br w:type="page"/>
      </w:r>
    </w:p>
    <w:p w:rsidR="00704E49" w:rsidRDefault="00CA5DDF" w:rsidP="005C761D">
      <w:pPr>
        <w:pStyle w:val="Heading1"/>
      </w:pPr>
      <w:r>
        <w:lastRenderedPageBreak/>
        <w:t>Procedure</w:t>
      </w:r>
      <w:bookmarkEnd w:id="13"/>
    </w:p>
    <w:p w:rsidR="005C1841" w:rsidRDefault="005C1841" w:rsidP="007459C2">
      <w:pPr>
        <w:spacing w:after="0"/>
      </w:pPr>
    </w:p>
    <w:p w:rsidR="00B73CBE" w:rsidRDefault="00B73CBE" w:rsidP="007459C2">
      <w:pPr>
        <w:spacing w:after="0"/>
      </w:pPr>
      <w:r>
        <w:t>The Consideration of requested Community Asset Transfers will take place within the Council’s Property Dealing Procedure.</w:t>
      </w:r>
    </w:p>
    <w:p w:rsidR="00B73CBE" w:rsidRDefault="00B73CBE" w:rsidP="007459C2">
      <w:pPr>
        <w:spacing w:after="0"/>
      </w:pPr>
    </w:p>
    <w:p w:rsidR="00B73CBE" w:rsidRDefault="00C44C5D" w:rsidP="007459C2">
      <w:pPr>
        <w:spacing w:after="0"/>
      </w:pPr>
      <w:r>
        <w:t>Any Request for Community Asset Transfer will be directed first of all to the Assets Manager</w:t>
      </w:r>
      <w:r w:rsidR="00FD3A76">
        <w:t xml:space="preserve"> in line with the Property Dealing P</w:t>
      </w:r>
      <w:r w:rsidR="00420DB8">
        <w:t>rocedure</w:t>
      </w:r>
      <w:r w:rsidR="00FD3A76">
        <w:t>.</w:t>
      </w:r>
      <w:r w:rsidR="00420DB8">
        <w:t xml:space="preserve"> The basic feasibility appraisal conducted will include a statement on whether a Community Asset Transfer is proposed and if so whether that proposal includes a clear statement of proposed enhanced community facilities or services that are planned to result.</w:t>
      </w:r>
      <w:r w:rsidR="00141353">
        <w:t xml:space="preserve"> </w:t>
      </w:r>
    </w:p>
    <w:p w:rsidR="00B73CBE" w:rsidRDefault="00B73CBE" w:rsidP="007459C2">
      <w:pPr>
        <w:spacing w:after="0"/>
      </w:pPr>
    </w:p>
    <w:p w:rsidR="00C44C5D" w:rsidRDefault="00D91F62" w:rsidP="007459C2">
      <w:pPr>
        <w:spacing w:after="0"/>
      </w:pPr>
      <w:r>
        <w:t>Any proposal or request for a C</w:t>
      </w:r>
      <w:r w:rsidR="00141353">
        <w:t>ommunity Asset Transfer that does not propose significant</w:t>
      </w:r>
      <w:r w:rsidR="00B73CBE">
        <w:t xml:space="preserve"> additional community benefits or services will be ruled unfeasible.</w:t>
      </w:r>
    </w:p>
    <w:p w:rsidR="00B73CBE" w:rsidRDefault="00B73CBE" w:rsidP="007459C2">
      <w:pPr>
        <w:spacing w:after="0"/>
      </w:pPr>
    </w:p>
    <w:p w:rsidR="00B73CBE" w:rsidRDefault="009E105F" w:rsidP="007459C2">
      <w:pPr>
        <w:spacing w:after="0"/>
      </w:pPr>
      <w:r>
        <w:t>If the potential disposal is considered feasible the resulting report to the portfolio holder will include an analysis of the proposal relative to any of the requirements or limiting factors to the extent that they are known at the time.</w:t>
      </w:r>
      <w:r w:rsidR="00DE62E7">
        <w:t xml:space="preserve"> The report will also consider whether Council support should be given to the development of groups, proposals or funding bids. The Portfolio Holder will then determine whether to proceed with the matter and if so the level of any Council support to be offered to the community group requesting the transfer and what the objectives of that scheme should be.</w:t>
      </w:r>
    </w:p>
    <w:p w:rsidR="009E105F" w:rsidRDefault="009E105F" w:rsidP="007459C2">
      <w:pPr>
        <w:spacing w:after="0"/>
      </w:pPr>
    </w:p>
    <w:p w:rsidR="00DE62E7" w:rsidRDefault="009E105F" w:rsidP="007459C2">
      <w:pPr>
        <w:spacing w:after="0"/>
      </w:pPr>
      <w:r>
        <w:t xml:space="preserve">In the event that the Portfolio Holder </w:t>
      </w:r>
      <w:r w:rsidR="00E5743E" w:rsidRPr="00E5743E">
        <w:rPr>
          <w:rFonts w:cs="Arial"/>
          <w:bCs/>
          <w:lang w:val="en"/>
        </w:rPr>
        <w:t>for Regeneration, Inward Investment and Asset Management</w:t>
      </w:r>
      <w:r>
        <w:t>determines upon the consideration of a disposal in response to a request for a Community Asset Transfer the disposals procedure will be expanded to include</w:t>
      </w:r>
      <w:r w:rsidR="00DE62E7">
        <w:t>:</w:t>
      </w:r>
    </w:p>
    <w:p w:rsidR="009E105F" w:rsidRDefault="009E105F" w:rsidP="00454BBF">
      <w:pPr>
        <w:pStyle w:val="ListParagraph"/>
        <w:numPr>
          <w:ilvl w:val="0"/>
          <w:numId w:val="9"/>
        </w:numPr>
        <w:spacing w:after="0"/>
      </w:pPr>
      <w:r>
        <w:t>the full</w:t>
      </w:r>
      <w:r w:rsidR="00DE62E7">
        <w:t xml:space="preserve"> appraisal of the requirements and limiting factors</w:t>
      </w:r>
    </w:p>
    <w:p w:rsidR="00DE62E7" w:rsidRDefault="00DE62E7" w:rsidP="00454BBF">
      <w:pPr>
        <w:pStyle w:val="ListParagraph"/>
        <w:numPr>
          <w:ilvl w:val="0"/>
          <w:numId w:val="9"/>
        </w:numPr>
        <w:spacing w:after="0"/>
      </w:pPr>
      <w:r>
        <w:t>(where authorised) supporting the development of proposals</w:t>
      </w:r>
    </w:p>
    <w:p w:rsidR="00DE62E7" w:rsidRDefault="00DE62E7" w:rsidP="00454BBF">
      <w:pPr>
        <w:pStyle w:val="ListParagraph"/>
        <w:numPr>
          <w:ilvl w:val="0"/>
          <w:numId w:val="9"/>
        </w:numPr>
        <w:spacing w:after="0"/>
      </w:pPr>
      <w:r>
        <w:t>Consultation with any similar groups or organisations offering the same or similar facilities/services in the District.</w:t>
      </w:r>
    </w:p>
    <w:p w:rsidR="00DE62E7" w:rsidRDefault="00DE62E7" w:rsidP="00454BBF">
      <w:pPr>
        <w:pStyle w:val="ListParagraph"/>
        <w:numPr>
          <w:ilvl w:val="0"/>
          <w:numId w:val="9"/>
        </w:numPr>
        <w:spacing w:after="0"/>
      </w:pPr>
      <w:r>
        <w:t>Consideration of whether a conditional contract would be appropriate</w:t>
      </w:r>
    </w:p>
    <w:p w:rsidR="00DE62E7" w:rsidRDefault="00454BBF" w:rsidP="00454BBF">
      <w:pPr>
        <w:pStyle w:val="ListParagraph"/>
        <w:numPr>
          <w:ilvl w:val="0"/>
          <w:numId w:val="9"/>
        </w:numPr>
        <w:spacing w:after="0"/>
      </w:pPr>
      <w:r>
        <w:t>All of the steps required by the guidance under the General Disposal Consent Order (England) 2003 or other legislative requirements.</w:t>
      </w:r>
    </w:p>
    <w:p w:rsidR="00DE62E7" w:rsidRDefault="00DE62E7" w:rsidP="007459C2">
      <w:pPr>
        <w:spacing w:after="0"/>
      </w:pPr>
    </w:p>
    <w:p w:rsidR="00B73CBE" w:rsidRDefault="00454BBF" w:rsidP="007459C2">
      <w:pPr>
        <w:spacing w:after="0"/>
      </w:pPr>
      <w:r>
        <w:t>In accordance with the Property Dealing Procedure any decision on the fact of or terms for a Community Asset Transfer will be considered by the Council’s Cabinet.</w:t>
      </w:r>
    </w:p>
    <w:p w:rsidR="00454BBF" w:rsidRDefault="00454BBF" w:rsidP="007459C2">
      <w:pPr>
        <w:spacing w:after="0"/>
      </w:pPr>
      <w:r>
        <w:t>The Cabinet will determine whether to proceed on the basis of the balance of the interests of the Council and community. The table overleaf is intended as a guide for members’ consideration and should not fetter their discretion to balance the vario</w:t>
      </w:r>
      <w:r w:rsidR="00565213">
        <w:t>u</w:t>
      </w:r>
      <w:r>
        <w:t>s interests as they see fit.</w:t>
      </w:r>
    </w:p>
    <w:p w:rsidR="00901D55" w:rsidRDefault="00454BBF" w:rsidP="00901D55">
      <w:pPr>
        <w:sectPr w:rsidR="00901D55" w:rsidSect="00037F7A">
          <w:pgSz w:w="11906" w:h="16838"/>
          <w:pgMar w:top="851" w:right="1440" w:bottom="851" w:left="1440" w:header="708" w:footer="708" w:gutter="0"/>
          <w:cols w:space="708"/>
          <w:docGrid w:linePitch="360"/>
        </w:sectPr>
      </w:pPr>
      <w:r>
        <w:br w:type="page"/>
      </w:r>
    </w:p>
    <w:p w:rsidR="00A352D8" w:rsidRPr="00A352D8" w:rsidRDefault="00901D55" w:rsidP="00A352D8">
      <w:pPr>
        <w:pStyle w:val="Heading1"/>
        <w:spacing w:before="0" w:after="240"/>
      </w:pPr>
      <w:bookmarkStart w:id="14" w:name="_Toc386181469"/>
      <w:r>
        <w:lastRenderedPageBreak/>
        <w:t>Balancing the Priorities</w:t>
      </w:r>
      <w:bookmarkEnd w:id="14"/>
    </w:p>
    <w:p w:rsidR="00454BBF" w:rsidRPr="00A352D8" w:rsidRDefault="00901D55" w:rsidP="007459C2">
      <w:pPr>
        <w:spacing w:after="0"/>
        <w:rPr>
          <w:b/>
        </w:rPr>
      </w:pPr>
      <w:r w:rsidRPr="00A352D8">
        <w:rPr>
          <w:b/>
        </w:rPr>
        <w:t>Mandatory Requirements:</w:t>
      </w:r>
    </w:p>
    <w:tbl>
      <w:tblPr>
        <w:tblStyle w:val="TableGrid"/>
        <w:tblW w:w="0" w:type="auto"/>
        <w:tblInd w:w="108" w:type="dxa"/>
        <w:tblLook w:val="04A0" w:firstRow="1" w:lastRow="0" w:firstColumn="1" w:lastColumn="0" w:noHBand="0" w:noVBand="1"/>
      </w:tblPr>
      <w:tblGrid>
        <w:gridCol w:w="13007"/>
        <w:gridCol w:w="1067"/>
      </w:tblGrid>
      <w:tr w:rsidR="00901D55" w:rsidRPr="00901D55" w:rsidTr="00E84F8F">
        <w:tc>
          <w:tcPr>
            <w:tcW w:w="13007" w:type="dxa"/>
          </w:tcPr>
          <w:p w:rsidR="00901D55" w:rsidRPr="00901D55" w:rsidRDefault="00901D55" w:rsidP="00210182">
            <w:pPr>
              <w:pStyle w:val="ListParagraph"/>
              <w:numPr>
                <w:ilvl w:val="0"/>
                <w:numId w:val="11"/>
              </w:numPr>
              <w:ind w:left="426" w:hanging="426"/>
            </w:pPr>
            <w:r w:rsidRPr="00901D55">
              <w:t xml:space="preserve">The proposal is based on a scheme to provide </w:t>
            </w:r>
            <w:r w:rsidR="00210182">
              <w:t xml:space="preserve">significant </w:t>
            </w:r>
            <w:r w:rsidRPr="00901D55">
              <w:t>new community facilities</w:t>
            </w:r>
            <w:r w:rsidR="00210182" w:rsidRPr="00901D55">
              <w:t xml:space="preserve"> or</w:t>
            </w:r>
            <w:r w:rsidR="00210182">
              <w:t xml:space="preserve"> significantly</w:t>
            </w:r>
            <w:r w:rsidR="00210182" w:rsidRPr="00901D55">
              <w:t xml:space="preserve"> improve</w:t>
            </w:r>
            <w:r w:rsidR="00E5743E">
              <w:t xml:space="preserve"> </w:t>
            </w:r>
            <w:r w:rsidR="00210182">
              <w:t>existing ones.</w:t>
            </w:r>
          </w:p>
        </w:tc>
        <w:tc>
          <w:tcPr>
            <w:tcW w:w="1067" w:type="dxa"/>
          </w:tcPr>
          <w:p w:rsidR="00901D55" w:rsidRPr="00901D55" w:rsidRDefault="00E84F8F" w:rsidP="00901D55">
            <w:r>
              <w:t>Yes/No</w:t>
            </w:r>
          </w:p>
        </w:tc>
      </w:tr>
      <w:tr w:rsidR="00E84F8F" w:rsidRPr="00901D55" w:rsidTr="00E84F8F">
        <w:tc>
          <w:tcPr>
            <w:tcW w:w="13007" w:type="dxa"/>
          </w:tcPr>
          <w:p w:rsidR="00E84F8F" w:rsidRPr="00901D55" w:rsidRDefault="00E84F8F" w:rsidP="00E84F8F">
            <w:pPr>
              <w:pStyle w:val="ListParagraph"/>
              <w:numPr>
                <w:ilvl w:val="0"/>
                <w:numId w:val="11"/>
              </w:numPr>
              <w:ind w:left="426" w:hanging="426"/>
            </w:pPr>
            <w:r>
              <w:t>The proposal i</w:t>
            </w:r>
            <w:r w:rsidRPr="00901D55">
              <w:t>nclude</w:t>
            </w:r>
            <w:r>
              <w:t>s</w:t>
            </w:r>
            <w:r w:rsidRPr="00901D55">
              <w:t xml:space="preserve"> appropriate legal safeguards to ensure that this happens</w:t>
            </w:r>
          </w:p>
        </w:tc>
        <w:tc>
          <w:tcPr>
            <w:tcW w:w="1067" w:type="dxa"/>
          </w:tcPr>
          <w:p w:rsidR="00E84F8F" w:rsidRPr="00901D55" w:rsidRDefault="00E84F8F" w:rsidP="00A9128A">
            <w:r>
              <w:t>Yes/No</w:t>
            </w:r>
          </w:p>
        </w:tc>
      </w:tr>
      <w:tr w:rsidR="00E84F8F" w:rsidRPr="00901D55" w:rsidTr="00E84F8F">
        <w:tc>
          <w:tcPr>
            <w:tcW w:w="13007" w:type="dxa"/>
          </w:tcPr>
          <w:p w:rsidR="00E84F8F" w:rsidRPr="00901D55" w:rsidRDefault="00E84F8F" w:rsidP="00B41D1A">
            <w:pPr>
              <w:pStyle w:val="ListParagraph"/>
              <w:numPr>
                <w:ilvl w:val="0"/>
                <w:numId w:val="11"/>
              </w:numPr>
              <w:ind w:left="426" w:hanging="426"/>
            </w:pPr>
            <w:r w:rsidRPr="00901D55">
              <w:t>The proposal is for a project that would not otherwise be deliverable, and;</w:t>
            </w:r>
          </w:p>
        </w:tc>
        <w:tc>
          <w:tcPr>
            <w:tcW w:w="1067" w:type="dxa"/>
          </w:tcPr>
          <w:p w:rsidR="00E84F8F" w:rsidRPr="00901D55" w:rsidRDefault="00E84F8F" w:rsidP="00A9128A">
            <w:r>
              <w:t>Yes/No</w:t>
            </w:r>
          </w:p>
        </w:tc>
      </w:tr>
      <w:tr w:rsidR="00E84F8F" w:rsidRPr="00901D55" w:rsidTr="00E84F8F">
        <w:tc>
          <w:tcPr>
            <w:tcW w:w="13007" w:type="dxa"/>
          </w:tcPr>
          <w:p w:rsidR="00E84F8F" w:rsidRPr="00901D55" w:rsidRDefault="00E84F8F" w:rsidP="00B41D1A">
            <w:pPr>
              <w:pStyle w:val="ListParagraph"/>
              <w:numPr>
                <w:ilvl w:val="0"/>
                <w:numId w:val="11"/>
              </w:numPr>
              <w:ind w:left="426" w:hanging="426"/>
            </w:pPr>
            <w:r w:rsidRPr="00901D55">
              <w:t>The proposal is to a community  trust, charity or other community organisation, and;</w:t>
            </w:r>
          </w:p>
        </w:tc>
        <w:tc>
          <w:tcPr>
            <w:tcW w:w="1067" w:type="dxa"/>
          </w:tcPr>
          <w:p w:rsidR="00E84F8F" w:rsidRPr="00901D55" w:rsidRDefault="00E84F8F" w:rsidP="00A9128A">
            <w:r>
              <w:t>Yes/No</w:t>
            </w:r>
          </w:p>
        </w:tc>
      </w:tr>
      <w:tr w:rsidR="00E84F8F" w:rsidRPr="00901D55" w:rsidTr="00E84F8F">
        <w:tc>
          <w:tcPr>
            <w:tcW w:w="13007" w:type="dxa"/>
          </w:tcPr>
          <w:p w:rsidR="00E84F8F" w:rsidRPr="00901D55" w:rsidRDefault="00E84F8F" w:rsidP="00E84F8F">
            <w:pPr>
              <w:pStyle w:val="ListParagraph"/>
              <w:numPr>
                <w:ilvl w:val="0"/>
                <w:numId w:val="11"/>
              </w:numPr>
              <w:ind w:left="426" w:hanging="426"/>
            </w:pPr>
            <w:r>
              <w:t>The proposal i</w:t>
            </w:r>
            <w:r w:rsidRPr="00901D55">
              <w:t>nclude</w:t>
            </w:r>
            <w:r>
              <w:t>s</w:t>
            </w:r>
            <w:r w:rsidRPr="00901D55">
              <w:t xml:space="preserve"> details to verify that the proposals are sustainable for the period of the transfer</w:t>
            </w:r>
          </w:p>
        </w:tc>
        <w:tc>
          <w:tcPr>
            <w:tcW w:w="1067" w:type="dxa"/>
          </w:tcPr>
          <w:p w:rsidR="00E84F8F" w:rsidRPr="00901D55" w:rsidRDefault="00E84F8F" w:rsidP="00A9128A">
            <w:r>
              <w:t>Yes/No</w:t>
            </w:r>
          </w:p>
        </w:tc>
      </w:tr>
    </w:tbl>
    <w:p w:rsidR="00E84F8F" w:rsidRDefault="00E84F8F" w:rsidP="00565213">
      <w:r>
        <w:t xml:space="preserve">Note: all of these requirements </w:t>
      </w:r>
      <w:r w:rsidRPr="00E84F8F">
        <w:rPr>
          <w:b/>
        </w:rPr>
        <w:t>must</w:t>
      </w:r>
      <w:r>
        <w:t xml:space="preserve"> be met in all cases</w:t>
      </w:r>
      <w:r w:rsidR="00E01AA1">
        <w:t>. No report to Cabinet will be submitted unless all of these criteria are met.</w:t>
      </w:r>
    </w:p>
    <w:p w:rsidR="004D2760" w:rsidRPr="00A352D8" w:rsidRDefault="004D2760" w:rsidP="00A352D8">
      <w:pPr>
        <w:spacing w:after="0"/>
        <w:rPr>
          <w:b/>
        </w:rPr>
      </w:pPr>
      <w:r w:rsidRPr="00A352D8">
        <w:rPr>
          <w:b/>
        </w:rPr>
        <w:t>Discretionary Requirements:</w:t>
      </w:r>
    </w:p>
    <w:tbl>
      <w:tblPr>
        <w:tblStyle w:val="TableGrid"/>
        <w:tblW w:w="14322" w:type="dxa"/>
        <w:tblInd w:w="108" w:type="dxa"/>
        <w:tblLook w:val="04A0" w:firstRow="1" w:lastRow="0" w:firstColumn="1" w:lastColumn="0" w:noHBand="0" w:noVBand="1"/>
      </w:tblPr>
      <w:tblGrid>
        <w:gridCol w:w="4536"/>
        <w:gridCol w:w="3262"/>
        <w:gridCol w:w="3262"/>
        <w:gridCol w:w="3262"/>
      </w:tblGrid>
      <w:tr w:rsidR="002A0D5B" w:rsidRPr="004D2760" w:rsidTr="002A0D5B">
        <w:tc>
          <w:tcPr>
            <w:tcW w:w="4536" w:type="dxa"/>
          </w:tcPr>
          <w:p w:rsidR="002A0D5B" w:rsidRPr="004D2760" w:rsidRDefault="002A0D5B" w:rsidP="002A0D5B">
            <w:pPr>
              <w:ind w:left="360"/>
            </w:pPr>
          </w:p>
        </w:tc>
        <w:tc>
          <w:tcPr>
            <w:tcW w:w="3262" w:type="dxa"/>
          </w:tcPr>
          <w:p w:rsidR="002A0D5B" w:rsidRPr="00CC0601" w:rsidRDefault="002A0D5B" w:rsidP="00717552">
            <w:pPr>
              <w:rPr>
                <w:b/>
              </w:rPr>
            </w:pPr>
            <w:r w:rsidRPr="00CC0601">
              <w:rPr>
                <w:b/>
              </w:rPr>
              <w:t xml:space="preserve">A transfer </w:t>
            </w:r>
            <w:r w:rsidR="00717552">
              <w:rPr>
                <w:b/>
              </w:rPr>
              <w:t xml:space="preserve">is </w:t>
            </w:r>
            <w:r w:rsidR="00717552" w:rsidRPr="00E5743E">
              <w:rPr>
                <w:b/>
                <w:u w:val="single"/>
              </w:rPr>
              <w:t>unlikely</w:t>
            </w:r>
            <w:r w:rsidR="00717552">
              <w:rPr>
                <w:b/>
              </w:rPr>
              <w:t xml:space="preserve"> to</w:t>
            </w:r>
            <w:r w:rsidRPr="00CC0601">
              <w:rPr>
                <w:b/>
              </w:rPr>
              <w:t xml:space="preserve"> be appropriate</w:t>
            </w:r>
          </w:p>
        </w:tc>
        <w:tc>
          <w:tcPr>
            <w:tcW w:w="3262" w:type="dxa"/>
          </w:tcPr>
          <w:p w:rsidR="002A0D5B" w:rsidRPr="00CC0601" w:rsidRDefault="002A0D5B" w:rsidP="00CC0601">
            <w:pPr>
              <w:rPr>
                <w:b/>
              </w:rPr>
            </w:pPr>
            <w:r w:rsidRPr="00CC0601">
              <w:rPr>
                <w:b/>
              </w:rPr>
              <w:t xml:space="preserve">A transfer </w:t>
            </w:r>
            <w:r w:rsidRPr="00E5743E">
              <w:rPr>
                <w:b/>
                <w:u w:val="single"/>
              </w:rPr>
              <w:t>may be</w:t>
            </w:r>
            <w:r w:rsidRPr="00CC0601">
              <w:rPr>
                <w:b/>
              </w:rPr>
              <w:t xml:space="preserve"> appropriate</w:t>
            </w:r>
          </w:p>
        </w:tc>
        <w:tc>
          <w:tcPr>
            <w:tcW w:w="3262" w:type="dxa"/>
          </w:tcPr>
          <w:p w:rsidR="002A0D5B" w:rsidRPr="00CC0601" w:rsidRDefault="002A0D5B" w:rsidP="00717552">
            <w:pPr>
              <w:rPr>
                <w:b/>
              </w:rPr>
            </w:pPr>
            <w:r w:rsidRPr="00CC0601">
              <w:rPr>
                <w:b/>
              </w:rPr>
              <w:t xml:space="preserve">A transfer </w:t>
            </w:r>
            <w:r w:rsidR="00717552">
              <w:rPr>
                <w:b/>
              </w:rPr>
              <w:t xml:space="preserve">is </w:t>
            </w:r>
            <w:r w:rsidR="00717552" w:rsidRPr="00E5743E">
              <w:rPr>
                <w:b/>
                <w:u w:val="single"/>
              </w:rPr>
              <w:t>likely</w:t>
            </w:r>
            <w:r w:rsidR="00717552">
              <w:rPr>
                <w:b/>
              </w:rPr>
              <w:t xml:space="preserve"> to be appropriate</w:t>
            </w:r>
          </w:p>
        </w:tc>
      </w:tr>
      <w:tr w:rsidR="004D2760" w:rsidRPr="004D2760" w:rsidTr="002A0D5B">
        <w:tc>
          <w:tcPr>
            <w:tcW w:w="4536" w:type="dxa"/>
          </w:tcPr>
          <w:p w:rsidR="004D2760" w:rsidRPr="004D2760" w:rsidRDefault="005C761D" w:rsidP="002A0D5B">
            <w:pPr>
              <w:pStyle w:val="ListParagraph"/>
              <w:numPr>
                <w:ilvl w:val="0"/>
                <w:numId w:val="12"/>
              </w:numPr>
              <w:ind w:left="459" w:hanging="425"/>
            </w:pPr>
            <w:r w:rsidRPr="004D2760">
              <w:t>Seek to maximise the benefits to the community</w:t>
            </w:r>
          </w:p>
        </w:tc>
        <w:tc>
          <w:tcPr>
            <w:tcW w:w="3262" w:type="dxa"/>
          </w:tcPr>
          <w:p w:rsidR="004D2760" w:rsidRPr="004D2760" w:rsidRDefault="00FD0580" w:rsidP="004D2760">
            <w:r>
              <w:t>Improvements to facilities/</w:t>
            </w:r>
            <w:r w:rsidR="00CC0601">
              <w:t>services</w:t>
            </w:r>
            <w:r>
              <w:t xml:space="preserve"> will be minimal or could be better or more efficiently provided in another way</w:t>
            </w:r>
          </w:p>
        </w:tc>
        <w:tc>
          <w:tcPr>
            <w:tcW w:w="3262" w:type="dxa"/>
          </w:tcPr>
          <w:p w:rsidR="004D2760" w:rsidRPr="004D2760" w:rsidRDefault="00CC0601" w:rsidP="004D2760">
            <w:r>
              <w:t>Improvements to facilities/services will be significant.</w:t>
            </w:r>
          </w:p>
        </w:tc>
        <w:tc>
          <w:tcPr>
            <w:tcW w:w="3262" w:type="dxa"/>
          </w:tcPr>
          <w:p w:rsidR="004D2760" w:rsidRPr="004D2760" w:rsidRDefault="00CC0601" w:rsidP="00E5743E">
            <w:r>
              <w:t xml:space="preserve">Improvements to facilities/services will represent a major new </w:t>
            </w:r>
            <w:r w:rsidR="00E5743E">
              <w:t xml:space="preserve">facility of </w:t>
            </w:r>
            <w:r>
              <w:t xml:space="preserve">regional </w:t>
            </w:r>
            <w:r w:rsidR="00E5743E">
              <w:t xml:space="preserve">value </w:t>
            </w:r>
            <w:r>
              <w:t>or a step change in district wide provision.</w:t>
            </w:r>
          </w:p>
        </w:tc>
      </w:tr>
      <w:tr w:rsidR="004D2760" w:rsidRPr="004D2760" w:rsidTr="002A0D5B">
        <w:tc>
          <w:tcPr>
            <w:tcW w:w="4536" w:type="dxa"/>
          </w:tcPr>
          <w:p w:rsidR="004D2760" w:rsidRPr="004D2760" w:rsidRDefault="005C761D" w:rsidP="002A0D5B">
            <w:pPr>
              <w:pStyle w:val="ListParagraph"/>
              <w:numPr>
                <w:ilvl w:val="0"/>
                <w:numId w:val="12"/>
              </w:numPr>
              <w:ind w:left="459" w:hanging="425"/>
            </w:pPr>
            <w:r w:rsidRPr="004D2760">
              <w:t>Include appropriate indications of support from planners, funders, regulatory bodies and the like</w:t>
            </w:r>
          </w:p>
        </w:tc>
        <w:tc>
          <w:tcPr>
            <w:tcW w:w="3262" w:type="dxa"/>
          </w:tcPr>
          <w:p w:rsidR="004D2760" w:rsidRDefault="00CC0601" w:rsidP="00717552">
            <w:r>
              <w:t>The Project is contrary to a specific Cou</w:t>
            </w:r>
            <w:r w:rsidR="00717552">
              <w:t>ncil priority policy or project, or;</w:t>
            </w:r>
          </w:p>
          <w:p w:rsidR="00717552" w:rsidRPr="004D2760" w:rsidRDefault="00717552" w:rsidP="00717552">
            <w:r>
              <w:t>There is no evidence of support from funders or regulators.</w:t>
            </w:r>
          </w:p>
        </w:tc>
        <w:tc>
          <w:tcPr>
            <w:tcW w:w="3262" w:type="dxa"/>
          </w:tcPr>
          <w:p w:rsidR="004D2760" w:rsidRDefault="00717552" w:rsidP="00717552">
            <w:r>
              <w:t>The project is consistent with Council priority policies or projects, and;</w:t>
            </w:r>
          </w:p>
          <w:p w:rsidR="00717552" w:rsidRPr="004D2760" w:rsidRDefault="00717552" w:rsidP="00717552">
            <w:r>
              <w:t>There is evidence of approvals or support from funders and regulators</w:t>
            </w:r>
          </w:p>
        </w:tc>
        <w:tc>
          <w:tcPr>
            <w:tcW w:w="3262" w:type="dxa"/>
          </w:tcPr>
          <w:p w:rsidR="00717552" w:rsidRDefault="00CC0601" w:rsidP="004D2760">
            <w:r>
              <w:t>The project delivers a specific Council priority policy or project</w:t>
            </w:r>
            <w:r w:rsidR="00717552">
              <w:t>, and;</w:t>
            </w:r>
          </w:p>
          <w:p w:rsidR="004D2760" w:rsidRPr="004D2760" w:rsidRDefault="00717552" w:rsidP="004D2760">
            <w:r>
              <w:t>There is evidence of approvals or support from funders and regulators</w:t>
            </w:r>
            <w:r w:rsidR="00CC0601">
              <w:t>.</w:t>
            </w:r>
          </w:p>
        </w:tc>
      </w:tr>
      <w:tr w:rsidR="004D2760" w:rsidRPr="00902FA1" w:rsidTr="002A0D5B">
        <w:tc>
          <w:tcPr>
            <w:tcW w:w="4536" w:type="dxa"/>
          </w:tcPr>
          <w:p w:rsidR="004D2760" w:rsidRPr="00902FA1" w:rsidRDefault="004D2760" w:rsidP="00691764">
            <w:pPr>
              <w:pStyle w:val="ListParagraph"/>
              <w:numPr>
                <w:ilvl w:val="0"/>
                <w:numId w:val="12"/>
              </w:numPr>
              <w:ind w:left="459" w:hanging="425"/>
            </w:pPr>
            <w:r w:rsidRPr="004D2760">
              <w:t xml:space="preserve">Include appropriate </w:t>
            </w:r>
            <w:r w:rsidR="00691764">
              <w:t>payment that reflects the nature of the proposals</w:t>
            </w:r>
          </w:p>
        </w:tc>
        <w:tc>
          <w:tcPr>
            <w:tcW w:w="3262" w:type="dxa"/>
          </w:tcPr>
          <w:p w:rsidR="004D2760" w:rsidRPr="004D2760" w:rsidRDefault="00717552" w:rsidP="004D2760">
            <w:r>
              <w:t>No, or little, consideration is proposed</w:t>
            </w:r>
            <w:r w:rsidR="006E5F4D">
              <w:t xml:space="preserve"> compared</w:t>
            </w:r>
            <w:r>
              <w:t xml:space="preserve"> with small benefits.</w:t>
            </w:r>
          </w:p>
        </w:tc>
        <w:tc>
          <w:tcPr>
            <w:tcW w:w="3262" w:type="dxa"/>
          </w:tcPr>
          <w:p w:rsidR="004D2760" w:rsidRPr="004D2760" w:rsidRDefault="006E5F4D" w:rsidP="006E5F4D">
            <w:r>
              <w:t>The level of consideration is in line with the level of community benefits proposed.</w:t>
            </w:r>
          </w:p>
        </w:tc>
        <w:tc>
          <w:tcPr>
            <w:tcW w:w="3262" w:type="dxa"/>
          </w:tcPr>
          <w:p w:rsidR="004D2760" w:rsidRPr="004D2760" w:rsidRDefault="00CC0601" w:rsidP="004D2760">
            <w:r>
              <w:t>The project looks forward towards a real financial return to the Council in the future.</w:t>
            </w:r>
          </w:p>
        </w:tc>
      </w:tr>
      <w:tr w:rsidR="005C761D" w:rsidRPr="00902FA1" w:rsidTr="005927B7">
        <w:tc>
          <w:tcPr>
            <w:tcW w:w="4536" w:type="dxa"/>
          </w:tcPr>
          <w:p w:rsidR="005C761D" w:rsidRPr="004D2760" w:rsidRDefault="005C761D" w:rsidP="002A0D5B">
            <w:pPr>
              <w:pStyle w:val="ListParagraph"/>
              <w:numPr>
                <w:ilvl w:val="0"/>
                <w:numId w:val="12"/>
              </w:numPr>
              <w:ind w:left="459" w:hanging="425"/>
            </w:pPr>
            <w:r>
              <w:t>Other benefits (insert if required)</w:t>
            </w:r>
          </w:p>
        </w:tc>
        <w:tc>
          <w:tcPr>
            <w:tcW w:w="9786" w:type="dxa"/>
            <w:gridSpan w:val="3"/>
          </w:tcPr>
          <w:p w:rsidR="005C761D" w:rsidRPr="004D2760" w:rsidRDefault="005C761D" w:rsidP="005C761D">
            <w:pPr>
              <w:jc w:val="center"/>
            </w:pPr>
            <w:r>
              <w:t>For consideration as appropriate</w:t>
            </w:r>
          </w:p>
        </w:tc>
      </w:tr>
    </w:tbl>
    <w:p w:rsidR="005C761D" w:rsidRDefault="005C761D" w:rsidP="004D2760"/>
    <w:p w:rsidR="00565213" w:rsidRPr="005C761D" w:rsidRDefault="00565213" w:rsidP="005C761D">
      <w:pPr>
        <w:spacing w:after="0"/>
        <w:rPr>
          <w:b/>
        </w:rPr>
      </w:pPr>
      <w:r w:rsidRPr="005C761D">
        <w:rPr>
          <w:b/>
        </w:rPr>
        <w:t>Limiting Factors</w:t>
      </w:r>
      <w:r w:rsidR="005C761D" w:rsidRPr="005C761D">
        <w:rPr>
          <w:b/>
        </w:rPr>
        <w:t>:</w:t>
      </w:r>
    </w:p>
    <w:tbl>
      <w:tblPr>
        <w:tblStyle w:val="TableGrid"/>
        <w:tblW w:w="0" w:type="auto"/>
        <w:tblInd w:w="108" w:type="dxa"/>
        <w:tblLayout w:type="fixed"/>
        <w:tblLook w:val="04A0" w:firstRow="1" w:lastRow="0" w:firstColumn="1" w:lastColumn="0" w:noHBand="0" w:noVBand="1"/>
      </w:tblPr>
      <w:tblGrid>
        <w:gridCol w:w="4536"/>
        <w:gridCol w:w="3261"/>
        <w:gridCol w:w="3260"/>
        <w:gridCol w:w="3260"/>
      </w:tblGrid>
      <w:tr w:rsidR="002A0D5B" w:rsidRPr="004F6322" w:rsidTr="00A352D8">
        <w:tc>
          <w:tcPr>
            <w:tcW w:w="4536" w:type="dxa"/>
          </w:tcPr>
          <w:p w:rsidR="002A0D5B" w:rsidRPr="004F6322" w:rsidRDefault="002A0D5B" w:rsidP="005B16A6">
            <w:pPr>
              <w:ind w:left="34"/>
            </w:pPr>
          </w:p>
        </w:tc>
        <w:tc>
          <w:tcPr>
            <w:tcW w:w="3261" w:type="dxa"/>
          </w:tcPr>
          <w:p w:rsidR="002A0D5B" w:rsidRPr="004F6322" w:rsidRDefault="006E5F4D" w:rsidP="005B16A6">
            <w:r w:rsidRPr="00CC0601">
              <w:rPr>
                <w:b/>
              </w:rPr>
              <w:t xml:space="preserve">A transfer </w:t>
            </w:r>
            <w:r>
              <w:rPr>
                <w:b/>
              </w:rPr>
              <w:t xml:space="preserve">is </w:t>
            </w:r>
            <w:r w:rsidRPr="00E5743E">
              <w:rPr>
                <w:b/>
                <w:u w:val="single"/>
              </w:rPr>
              <w:t>unlikely</w:t>
            </w:r>
            <w:r>
              <w:rPr>
                <w:b/>
              </w:rPr>
              <w:t xml:space="preserve"> to</w:t>
            </w:r>
            <w:r w:rsidRPr="00CC0601">
              <w:rPr>
                <w:b/>
              </w:rPr>
              <w:t xml:space="preserve"> be appropriate</w:t>
            </w:r>
          </w:p>
        </w:tc>
        <w:tc>
          <w:tcPr>
            <w:tcW w:w="3260" w:type="dxa"/>
          </w:tcPr>
          <w:p w:rsidR="002A0D5B" w:rsidRPr="004F6322" w:rsidRDefault="005B16A6" w:rsidP="005B16A6">
            <w:r w:rsidRPr="00CC0601">
              <w:rPr>
                <w:b/>
              </w:rPr>
              <w:t xml:space="preserve">A transfer </w:t>
            </w:r>
            <w:r w:rsidRPr="00E5743E">
              <w:rPr>
                <w:b/>
                <w:u w:val="single"/>
              </w:rPr>
              <w:t>may be</w:t>
            </w:r>
            <w:r w:rsidRPr="00CC0601">
              <w:rPr>
                <w:b/>
              </w:rPr>
              <w:t xml:space="preserve"> appropriate</w:t>
            </w:r>
          </w:p>
        </w:tc>
        <w:tc>
          <w:tcPr>
            <w:tcW w:w="3260" w:type="dxa"/>
          </w:tcPr>
          <w:p w:rsidR="002A0D5B" w:rsidRPr="004F6322" w:rsidRDefault="005B16A6" w:rsidP="005B16A6">
            <w:r w:rsidRPr="00CC0601">
              <w:rPr>
                <w:b/>
              </w:rPr>
              <w:t xml:space="preserve">A transfer </w:t>
            </w:r>
            <w:r>
              <w:rPr>
                <w:b/>
              </w:rPr>
              <w:t xml:space="preserve">is </w:t>
            </w:r>
            <w:r w:rsidRPr="00E5743E">
              <w:rPr>
                <w:b/>
                <w:u w:val="single"/>
              </w:rPr>
              <w:t>likely</w:t>
            </w:r>
            <w:r>
              <w:rPr>
                <w:b/>
              </w:rPr>
              <w:t xml:space="preserve"> to be appropriate</w:t>
            </w:r>
          </w:p>
        </w:tc>
      </w:tr>
      <w:tr w:rsidR="006E5F4D" w:rsidRPr="004F6322" w:rsidTr="00A352D8">
        <w:tc>
          <w:tcPr>
            <w:tcW w:w="4536" w:type="dxa"/>
          </w:tcPr>
          <w:p w:rsidR="006E5F4D" w:rsidRPr="004D2760" w:rsidRDefault="005B16A6" w:rsidP="005B16A6">
            <w:pPr>
              <w:pStyle w:val="ListParagraph"/>
              <w:numPr>
                <w:ilvl w:val="0"/>
                <w:numId w:val="14"/>
              </w:numPr>
              <w:ind w:left="459" w:hanging="425"/>
            </w:pPr>
            <w:r w:rsidRPr="004F6322">
              <w:t>Limiting the potential of the Council to deliver on area action or masterplans</w:t>
            </w:r>
          </w:p>
        </w:tc>
        <w:tc>
          <w:tcPr>
            <w:tcW w:w="3261" w:type="dxa"/>
          </w:tcPr>
          <w:p w:rsidR="006E5F4D" w:rsidRPr="005B16A6" w:rsidRDefault="005B16A6" w:rsidP="003D2C51">
            <w:r w:rsidRPr="005B16A6">
              <w:t>The project would block or hinder the delivery of a Council policy or project</w:t>
            </w:r>
            <w:r w:rsidR="00CD0808">
              <w:t>.</w:t>
            </w:r>
          </w:p>
        </w:tc>
        <w:tc>
          <w:tcPr>
            <w:tcW w:w="3260" w:type="dxa"/>
          </w:tcPr>
          <w:p w:rsidR="006E5F4D" w:rsidRPr="005B16A6" w:rsidRDefault="005B16A6" w:rsidP="003D2C51">
            <w:r>
              <w:t xml:space="preserve">The project is consistent with </w:t>
            </w:r>
            <w:r w:rsidR="00CD0808" w:rsidRPr="005B16A6">
              <w:t>the delivery of a Council policy or project</w:t>
            </w:r>
            <w:r w:rsidR="00CD0808">
              <w:t>.</w:t>
            </w:r>
          </w:p>
        </w:tc>
        <w:tc>
          <w:tcPr>
            <w:tcW w:w="3260" w:type="dxa"/>
          </w:tcPr>
          <w:p w:rsidR="00CD0808" w:rsidRDefault="00CD0808" w:rsidP="00CD0808">
            <w:r>
              <w:t xml:space="preserve">The project delivers </w:t>
            </w:r>
            <w:r w:rsidRPr="005B16A6">
              <w:t>a Council policy or project</w:t>
            </w:r>
            <w:r>
              <w:t xml:space="preserve">. </w:t>
            </w:r>
          </w:p>
          <w:p w:rsidR="006E5F4D" w:rsidRPr="005B16A6" w:rsidRDefault="006E5F4D" w:rsidP="003D2C51"/>
        </w:tc>
      </w:tr>
      <w:tr w:rsidR="006E5F4D" w:rsidRPr="004F6322" w:rsidTr="00A352D8">
        <w:tc>
          <w:tcPr>
            <w:tcW w:w="4536" w:type="dxa"/>
          </w:tcPr>
          <w:p w:rsidR="006E5F4D" w:rsidRPr="004F6322" w:rsidRDefault="006E5F4D" w:rsidP="005B16A6">
            <w:pPr>
              <w:pStyle w:val="ListParagraph"/>
              <w:numPr>
                <w:ilvl w:val="0"/>
                <w:numId w:val="14"/>
              </w:numPr>
              <w:ind w:left="459" w:hanging="425"/>
            </w:pPr>
            <w:r w:rsidRPr="004F6322">
              <w:t>Disproportionately large effect on the potential or value of adjoining sites</w:t>
            </w:r>
          </w:p>
        </w:tc>
        <w:tc>
          <w:tcPr>
            <w:tcW w:w="3261" w:type="dxa"/>
          </w:tcPr>
          <w:p w:rsidR="006E5F4D" w:rsidRPr="005B16A6" w:rsidRDefault="00CD0808" w:rsidP="00CD0808">
            <w:pPr>
              <w:ind w:left="34"/>
            </w:pPr>
            <w:r>
              <w:t xml:space="preserve">The project would have a major </w:t>
            </w:r>
            <w:r w:rsidR="00DA7DD7">
              <w:t xml:space="preserve">limiting </w:t>
            </w:r>
            <w:r>
              <w:t>effect on the potential development (whether for council use or disposal)</w:t>
            </w:r>
            <w:r w:rsidR="00DA7DD7">
              <w:t xml:space="preserve"> </w:t>
            </w:r>
            <w:r>
              <w:t>of adjoining Council land or building</w:t>
            </w:r>
            <w:r w:rsidR="00DA7DD7">
              <w:t>.</w:t>
            </w:r>
          </w:p>
        </w:tc>
        <w:tc>
          <w:tcPr>
            <w:tcW w:w="3260" w:type="dxa"/>
          </w:tcPr>
          <w:p w:rsidR="006E5F4D" w:rsidRPr="005B16A6" w:rsidRDefault="00DA7DD7" w:rsidP="00DA7DD7">
            <w:pPr>
              <w:ind w:left="33" w:hanging="33"/>
            </w:pPr>
            <w:r>
              <w:t>The project would have a marginal or no effect on the potential development (whether for council use or disposal) of adjoining Council land or building.</w:t>
            </w:r>
          </w:p>
        </w:tc>
        <w:tc>
          <w:tcPr>
            <w:tcW w:w="3260" w:type="dxa"/>
          </w:tcPr>
          <w:p w:rsidR="006E5F4D" w:rsidRPr="005B16A6" w:rsidRDefault="00DA7DD7" w:rsidP="00DA7DD7">
            <w:pPr>
              <w:ind w:left="34"/>
            </w:pPr>
            <w:r>
              <w:t>The project would have an enhancing effect on the potential development (whether for council use or disposal) of adjoining Council land or building.</w:t>
            </w:r>
          </w:p>
        </w:tc>
      </w:tr>
      <w:tr w:rsidR="00DA7DD7" w:rsidRPr="004F6322" w:rsidTr="005B16A6">
        <w:trPr>
          <w:trHeight w:val="70"/>
        </w:trPr>
        <w:tc>
          <w:tcPr>
            <w:tcW w:w="4536" w:type="dxa"/>
          </w:tcPr>
          <w:p w:rsidR="00DA7DD7" w:rsidRPr="004F6322" w:rsidRDefault="00DA7DD7" w:rsidP="00DA7DD7">
            <w:pPr>
              <w:pStyle w:val="ListParagraph"/>
              <w:numPr>
                <w:ilvl w:val="0"/>
                <w:numId w:val="14"/>
              </w:numPr>
              <w:ind w:left="459" w:hanging="425"/>
            </w:pPr>
            <w:r w:rsidRPr="004F6322">
              <w:t>Pre</w:t>
            </w:r>
            <w:r>
              <w:t xml:space="preserve">judice </w:t>
            </w:r>
            <w:r w:rsidRPr="004F6322">
              <w:t xml:space="preserve">a current or future </w:t>
            </w:r>
            <w:r>
              <w:t xml:space="preserve">alternative </w:t>
            </w:r>
            <w:r w:rsidRPr="004F6322">
              <w:t xml:space="preserve">community benefit </w:t>
            </w:r>
            <w:r>
              <w:t>service or facility</w:t>
            </w:r>
          </w:p>
        </w:tc>
        <w:tc>
          <w:tcPr>
            <w:tcW w:w="3261" w:type="dxa"/>
          </w:tcPr>
          <w:p w:rsidR="00DA7DD7" w:rsidRPr="005B16A6" w:rsidRDefault="00DA7DD7" w:rsidP="00DA7DD7">
            <w:r>
              <w:t>The project would have a significant detrimental effect on another community or public service or facility.</w:t>
            </w:r>
          </w:p>
        </w:tc>
        <w:tc>
          <w:tcPr>
            <w:tcW w:w="3260" w:type="dxa"/>
          </w:tcPr>
          <w:p w:rsidR="00DA7DD7" w:rsidRPr="005B16A6" w:rsidRDefault="00DA7DD7" w:rsidP="00E01AA1">
            <w:r>
              <w:t xml:space="preserve">The project would have a </w:t>
            </w:r>
            <w:r w:rsidR="00E01AA1">
              <w:t>marginal or no</w:t>
            </w:r>
            <w:r>
              <w:t xml:space="preserve"> effect on another community or public service or facility.</w:t>
            </w:r>
          </w:p>
        </w:tc>
        <w:tc>
          <w:tcPr>
            <w:tcW w:w="3260" w:type="dxa"/>
          </w:tcPr>
          <w:p w:rsidR="00DA7DD7" w:rsidRPr="005B16A6" w:rsidRDefault="00DA7DD7" w:rsidP="00E01AA1">
            <w:r>
              <w:t xml:space="preserve">The project would </w:t>
            </w:r>
            <w:r w:rsidR="00E01AA1">
              <w:t xml:space="preserve">complement or support </w:t>
            </w:r>
            <w:r>
              <w:t>other community or public service or facilit</w:t>
            </w:r>
            <w:r w:rsidR="00E01AA1">
              <w:t>ies</w:t>
            </w:r>
            <w:r>
              <w:t>.</w:t>
            </w:r>
          </w:p>
        </w:tc>
      </w:tr>
      <w:tr w:rsidR="00DA7DD7" w:rsidRPr="004F6322" w:rsidTr="00790811">
        <w:tc>
          <w:tcPr>
            <w:tcW w:w="4536" w:type="dxa"/>
          </w:tcPr>
          <w:p w:rsidR="00DA7DD7" w:rsidRPr="004F6322" w:rsidRDefault="00DA7DD7" w:rsidP="005B16A6">
            <w:pPr>
              <w:pStyle w:val="ListParagraph"/>
              <w:numPr>
                <w:ilvl w:val="0"/>
                <w:numId w:val="14"/>
              </w:numPr>
              <w:ind w:left="459" w:hanging="425"/>
            </w:pPr>
            <w:r>
              <w:t>Other benefits (insert if required)</w:t>
            </w:r>
          </w:p>
        </w:tc>
        <w:tc>
          <w:tcPr>
            <w:tcW w:w="9781" w:type="dxa"/>
            <w:gridSpan w:val="3"/>
          </w:tcPr>
          <w:p w:rsidR="00DA7DD7" w:rsidRPr="004F6322" w:rsidRDefault="00DA7DD7" w:rsidP="00A352D8">
            <w:pPr>
              <w:ind w:left="2552"/>
            </w:pPr>
            <w:r>
              <w:t>For consideration as appropriate</w:t>
            </w:r>
          </w:p>
        </w:tc>
      </w:tr>
    </w:tbl>
    <w:p w:rsidR="00FD3A76" w:rsidRDefault="00FD3A76" w:rsidP="005C761D"/>
    <w:p w:rsidR="00E01AA1" w:rsidRDefault="00E01AA1" w:rsidP="005C761D">
      <w:r>
        <w:t>Any report recommending a Co</w:t>
      </w:r>
      <w:r w:rsidR="00A45655">
        <w:t>mmunity Asset T</w:t>
      </w:r>
      <w:r>
        <w:t xml:space="preserve">ransfer will include an assessment of all of the requirements </w:t>
      </w:r>
      <w:r w:rsidR="00A45655">
        <w:t>and limiting factors in order to facilitate Cabinet’s judgement on the balance of the benefits, effects and priorities.</w:t>
      </w:r>
    </w:p>
    <w:p w:rsidR="00210182" w:rsidRDefault="00210182" w:rsidP="005C761D">
      <w:r>
        <w:t>Any report recommending a Community Asset Transfer will include a degree or type of transfer and terms including safeguards that are proportional to the proposals and in the interests of the Council.</w:t>
      </w:r>
    </w:p>
    <w:p w:rsidR="00210182" w:rsidRDefault="00210182" w:rsidP="005C761D">
      <w:r>
        <w:t>Where significant improvement of community services or facilities is not proposed, or other criteria cannot be met it may still be appropriate for the project to proceed</w:t>
      </w:r>
      <w:r w:rsidR="00AC79E3">
        <w:t xml:space="preserve"> at open market rental levels and subject to CAROS as applicable at the time.</w:t>
      </w:r>
    </w:p>
    <w:sectPr w:rsidR="00210182" w:rsidSect="00901D55">
      <w:pgSz w:w="16838" w:h="11906" w:orient="landscape"/>
      <w:pgMar w:top="1440" w:right="1276"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03" w:rsidRDefault="001B0203" w:rsidP="001B0203">
      <w:pPr>
        <w:spacing w:after="0" w:line="240" w:lineRule="auto"/>
      </w:pPr>
      <w:r>
        <w:separator/>
      </w:r>
    </w:p>
  </w:endnote>
  <w:endnote w:type="continuationSeparator" w:id="0">
    <w:p w:rsidR="001B0203" w:rsidRDefault="001B0203" w:rsidP="001B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03" w:rsidRDefault="001B0203" w:rsidP="001B0203">
      <w:pPr>
        <w:spacing w:after="0" w:line="240" w:lineRule="auto"/>
      </w:pPr>
      <w:r>
        <w:separator/>
      </w:r>
    </w:p>
  </w:footnote>
  <w:footnote w:type="continuationSeparator" w:id="0">
    <w:p w:rsidR="001B0203" w:rsidRDefault="001B0203" w:rsidP="001B02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85E"/>
    <w:multiLevelType w:val="hybridMultilevel"/>
    <w:tmpl w:val="948A0A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E761D9"/>
    <w:multiLevelType w:val="hybridMultilevel"/>
    <w:tmpl w:val="32FE9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0957F1"/>
    <w:multiLevelType w:val="hybridMultilevel"/>
    <w:tmpl w:val="25CE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54004D7"/>
    <w:multiLevelType w:val="hybridMultilevel"/>
    <w:tmpl w:val="12F20F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C0751A"/>
    <w:multiLevelType w:val="hybridMultilevel"/>
    <w:tmpl w:val="4CF60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C956E8A"/>
    <w:multiLevelType w:val="hybridMultilevel"/>
    <w:tmpl w:val="1980A5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A1169C"/>
    <w:multiLevelType w:val="hybridMultilevel"/>
    <w:tmpl w:val="948A0A7A"/>
    <w:lvl w:ilvl="0" w:tplc="08090017">
      <w:start w:val="1"/>
      <w:numFmt w:val="lowerLetter"/>
      <w:lvlText w:val="%1)"/>
      <w:lvlJc w:val="left"/>
      <w:pPr>
        <w:ind w:left="720" w:hanging="360"/>
      </w:pPr>
    </w:lvl>
    <w:lvl w:ilvl="1" w:tplc="08090019" w:tentative="1">
      <w:start w:val="1"/>
      <w:numFmt w:val="lowerLetter"/>
      <w:lvlText w:val="%2."/>
      <w:lvlJc w:val="left"/>
      <w:pPr>
        <w:ind w:left="-752" w:hanging="360"/>
      </w:pPr>
    </w:lvl>
    <w:lvl w:ilvl="2" w:tplc="0809001B" w:tentative="1">
      <w:start w:val="1"/>
      <w:numFmt w:val="lowerRoman"/>
      <w:lvlText w:val="%3."/>
      <w:lvlJc w:val="right"/>
      <w:pPr>
        <w:ind w:left="-32" w:hanging="180"/>
      </w:pPr>
    </w:lvl>
    <w:lvl w:ilvl="3" w:tplc="0809000F" w:tentative="1">
      <w:start w:val="1"/>
      <w:numFmt w:val="decimal"/>
      <w:lvlText w:val="%4."/>
      <w:lvlJc w:val="left"/>
      <w:pPr>
        <w:ind w:left="688" w:hanging="360"/>
      </w:pPr>
    </w:lvl>
    <w:lvl w:ilvl="4" w:tplc="08090019" w:tentative="1">
      <w:start w:val="1"/>
      <w:numFmt w:val="lowerLetter"/>
      <w:lvlText w:val="%5."/>
      <w:lvlJc w:val="left"/>
      <w:pPr>
        <w:ind w:left="1408" w:hanging="360"/>
      </w:pPr>
    </w:lvl>
    <w:lvl w:ilvl="5" w:tplc="0809001B" w:tentative="1">
      <w:start w:val="1"/>
      <w:numFmt w:val="lowerRoman"/>
      <w:lvlText w:val="%6."/>
      <w:lvlJc w:val="right"/>
      <w:pPr>
        <w:ind w:left="2128" w:hanging="180"/>
      </w:pPr>
    </w:lvl>
    <w:lvl w:ilvl="6" w:tplc="0809000F" w:tentative="1">
      <w:start w:val="1"/>
      <w:numFmt w:val="decimal"/>
      <w:lvlText w:val="%7."/>
      <w:lvlJc w:val="left"/>
      <w:pPr>
        <w:ind w:left="2848" w:hanging="360"/>
      </w:pPr>
    </w:lvl>
    <w:lvl w:ilvl="7" w:tplc="08090019" w:tentative="1">
      <w:start w:val="1"/>
      <w:numFmt w:val="lowerLetter"/>
      <w:lvlText w:val="%8."/>
      <w:lvlJc w:val="left"/>
      <w:pPr>
        <w:ind w:left="3568" w:hanging="360"/>
      </w:pPr>
    </w:lvl>
    <w:lvl w:ilvl="8" w:tplc="0809001B" w:tentative="1">
      <w:start w:val="1"/>
      <w:numFmt w:val="lowerRoman"/>
      <w:lvlText w:val="%9."/>
      <w:lvlJc w:val="right"/>
      <w:pPr>
        <w:ind w:left="4288" w:hanging="180"/>
      </w:pPr>
    </w:lvl>
  </w:abstractNum>
  <w:abstractNum w:abstractNumId="7">
    <w:nsid w:val="48F76979"/>
    <w:multiLevelType w:val="hybridMultilevel"/>
    <w:tmpl w:val="A808C8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663A04"/>
    <w:multiLevelType w:val="hybridMultilevel"/>
    <w:tmpl w:val="EDAA2D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FA663C"/>
    <w:multiLevelType w:val="hybridMultilevel"/>
    <w:tmpl w:val="C700E3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4C2267"/>
    <w:multiLevelType w:val="hybridMultilevel"/>
    <w:tmpl w:val="E6C6CC5C"/>
    <w:lvl w:ilvl="0" w:tplc="455C4D1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5D155C"/>
    <w:multiLevelType w:val="hybridMultilevel"/>
    <w:tmpl w:val="38325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3863503"/>
    <w:multiLevelType w:val="hybridMultilevel"/>
    <w:tmpl w:val="D7208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0C19C1"/>
    <w:multiLevelType w:val="hybridMultilevel"/>
    <w:tmpl w:val="12F20F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11"/>
  </w:num>
  <w:num w:numId="5">
    <w:abstractNumId w:val="8"/>
  </w:num>
  <w:num w:numId="6">
    <w:abstractNumId w:val="0"/>
  </w:num>
  <w:num w:numId="7">
    <w:abstractNumId w:val="6"/>
  </w:num>
  <w:num w:numId="8">
    <w:abstractNumId w:val="9"/>
  </w:num>
  <w:num w:numId="9">
    <w:abstractNumId w:val="12"/>
  </w:num>
  <w:num w:numId="10">
    <w:abstractNumId w:val="10"/>
  </w:num>
  <w:num w:numId="11">
    <w:abstractNumId w:val="5"/>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34"/>
    <w:rsid w:val="00037F7A"/>
    <w:rsid w:val="000408C8"/>
    <w:rsid w:val="00141353"/>
    <w:rsid w:val="001936F6"/>
    <w:rsid w:val="001B0203"/>
    <w:rsid w:val="001B4FF5"/>
    <w:rsid w:val="001D612D"/>
    <w:rsid w:val="00210182"/>
    <w:rsid w:val="00242D87"/>
    <w:rsid w:val="00283F18"/>
    <w:rsid w:val="002A0D5B"/>
    <w:rsid w:val="00366AA8"/>
    <w:rsid w:val="003C40C7"/>
    <w:rsid w:val="00403F48"/>
    <w:rsid w:val="0041709E"/>
    <w:rsid w:val="00420DB8"/>
    <w:rsid w:val="00444F2D"/>
    <w:rsid w:val="00454BBF"/>
    <w:rsid w:val="0046039F"/>
    <w:rsid w:val="004D2760"/>
    <w:rsid w:val="004F0598"/>
    <w:rsid w:val="004F6322"/>
    <w:rsid w:val="00520E0B"/>
    <w:rsid w:val="00565213"/>
    <w:rsid w:val="005A1951"/>
    <w:rsid w:val="005B16A6"/>
    <w:rsid w:val="005C1841"/>
    <w:rsid w:val="005C761D"/>
    <w:rsid w:val="0060152E"/>
    <w:rsid w:val="00667E40"/>
    <w:rsid w:val="00691764"/>
    <w:rsid w:val="006E5F4D"/>
    <w:rsid w:val="00704E49"/>
    <w:rsid w:val="00716DE7"/>
    <w:rsid w:val="00717552"/>
    <w:rsid w:val="007459C2"/>
    <w:rsid w:val="007572F6"/>
    <w:rsid w:val="007777BF"/>
    <w:rsid w:val="008101F1"/>
    <w:rsid w:val="00813EB3"/>
    <w:rsid w:val="00872A77"/>
    <w:rsid w:val="00901D55"/>
    <w:rsid w:val="00902FA1"/>
    <w:rsid w:val="00946DAF"/>
    <w:rsid w:val="009A5334"/>
    <w:rsid w:val="009E105F"/>
    <w:rsid w:val="009F2936"/>
    <w:rsid w:val="00A31557"/>
    <w:rsid w:val="00A352D8"/>
    <w:rsid w:val="00A45655"/>
    <w:rsid w:val="00A508C5"/>
    <w:rsid w:val="00A7194F"/>
    <w:rsid w:val="00AC79E3"/>
    <w:rsid w:val="00AD1790"/>
    <w:rsid w:val="00B73CBE"/>
    <w:rsid w:val="00BC2B57"/>
    <w:rsid w:val="00BE5BF8"/>
    <w:rsid w:val="00C12C22"/>
    <w:rsid w:val="00C206BF"/>
    <w:rsid w:val="00C44C5D"/>
    <w:rsid w:val="00C85721"/>
    <w:rsid w:val="00C93603"/>
    <w:rsid w:val="00CA5DDF"/>
    <w:rsid w:val="00CC0601"/>
    <w:rsid w:val="00CC6085"/>
    <w:rsid w:val="00CD0808"/>
    <w:rsid w:val="00D00215"/>
    <w:rsid w:val="00D91F62"/>
    <w:rsid w:val="00DA7DD7"/>
    <w:rsid w:val="00DD61AF"/>
    <w:rsid w:val="00DE62E7"/>
    <w:rsid w:val="00E01AA1"/>
    <w:rsid w:val="00E5743E"/>
    <w:rsid w:val="00E63432"/>
    <w:rsid w:val="00E84F8F"/>
    <w:rsid w:val="00EB48C5"/>
    <w:rsid w:val="00EB54A7"/>
    <w:rsid w:val="00F00C89"/>
    <w:rsid w:val="00FD0580"/>
    <w:rsid w:val="00FD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76"/>
    <w:rPr>
      <w:rFonts w:ascii="Arial" w:hAnsi="Arial"/>
      <w:sz w:val="24"/>
    </w:rPr>
  </w:style>
  <w:style w:type="paragraph" w:styleId="Heading1">
    <w:name w:val="heading 1"/>
    <w:basedOn w:val="Normal"/>
    <w:next w:val="Normal"/>
    <w:link w:val="Heading1Char"/>
    <w:uiPriority w:val="9"/>
    <w:qFormat/>
    <w:rsid w:val="009F29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19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334"/>
    <w:rPr>
      <w:rFonts w:ascii="Tahoma" w:hAnsi="Tahoma" w:cs="Tahoma"/>
      <w:sz w:val="16"/>
      <w:szCs w:val="16"/>
    </w:rPr>
  </w:style>
  <w:style w:type="character" w:customStyle="1" w:styleId="Heading1Char">
    <w:name w:val="Heading 1 Char"/>
    <w:basedOn w:val="DefaultParagraphFont"/>
    <w:link w:val="Heading1"/>
    <w:uiPriority w:val="9"/>
    <w:rsid w:val="009F293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F2936"/>
    <w:pPr>
      <w:outlineLvl w:val="9"/>
    </w:pPr>
    <w:rPr>
      <w:lang w:val="en-US" w:eastAsia="ja-JP"/>
    </w:rPr>
  </w:style>
  <w:style w:type="paragraph" w:styleId="TOC1">
    <w:name w:val="toc 1"/>
    <w:basedOn w:val="Normal"/>
    <w:next w:val="Normal"/>
    <w:autoRedefine/>
    <w:uiPriority w:val="39"/>
    <w:unhideWhenUsed/>
    <w:rsid w:val="009F2936"/>
    <w:pPr>
      <w:spacing w:after="100"/>
    </w:pPr>
  </w:style>
  <w:style w:type="character" w:styleId="Hyperlink">
    <w:name w:val="Hyperlink"/>
    <w:basedOn w:val="DefaultParagraphFont"/>
    <w:uiPriority w:val="99"/>
    <w:unhideWhenUsed/>
    <w:rsid w:val="009F2936"/>
    <w:rPr>
      <w:color w:val="0000FF" w:themeColor="hyperlink"/>
      <w:u w:val="single"/>
    </w:rPr>
  </w:style>
  <w:style w:type="character" w:customStyle="1" w:styleId="Heading2Char">
    <w:name w:val="Heading 2 Char"/>
    <w:basedOn w:val="DefaultParagraphFont"/>
    <w:link w:val="Heading2"/>
    <w:uiPriority w:val="9"/>
    <w:rsid w:val="005A1951"/>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semiHidden/>
    <w:unhideWhenUsed/>
    <w:rsid w:val="007777BF"/>
    <w:pPr>
      <w:spacing w:after="0" w:line="240" w:lineRule="auto"/>
      <w:ind w:left="600"/>
      <w:jc w:val="both"/>
    </w:pPr>
    <w:rPr>
      <w:rFonts w:ascii="Times New Roman" w:eastAsia="Times New Roman" w:hAnsi="Times New Roman" w:cs="Times New Roman"/>
      <w:szCs w:val="20"/>
      <w:lang w:eastAsia="en-GB"/>
    </w:rPr>
  </w:style>
  <w:style w:type="character" w:customStyle="1" w:styleId="BodyTextIndent2Char">
    <w:name w:val="Body Text Indent 2 Char"/>
    <w:basedOn w:val="DefaultParagraphFont"/>
    <w:link w:val="BodyTextIndent2"/>
    <w:semiHidden/>
    <w:rsid w:val="007777BF"/>
    <w:rPr>
      <w:rFonts w:ascii="Times New Roman" w:eastAsia="Times New Roman" w:hAnsi="Times New Roman" w:cs="Times New Roman"/>
      <w:sz w:val="24"/>
      <w:szCs w:val="20"/>
      <w:lang w:eastAsia="en-GB"/>
    </w:rPr>
  </w:style>
  <w:style w:type="paragraph" w:styleId="TOC2">
    <w:name w:val="toc 2"/>
    <w:basedOn w:val="Normal"/>
    <w:next w:val="Normal"/>
    <w:autoRedefine/>
    <w:uiPriority w:val="39"/>
    <w:unhideWhenUsed/>
    <w:rsid w:val="0041709E"/>
    <w:pPr>
      <w:spacing w:after="100"/>
      <w:ind w:left="220"/>
    </w:pPr>
  </w:style>
  <w:style w:type="paragraph" w:styleId="ListParagraph">
    <w:name w:val="List Paragraph"/>
    <w:basedOn w:val="Normal"/>
    <w:uiPriority w:val="34"/>
    <w:qFormat/>
    <w:rsid w:val="00AD1790"/>
    <w:pPr>
      <w:ind w:left="720"/>
      <w:contextualSpacing/>
    </w:pPr>
  </w:style>
  <w:style w:type="table" w:styleId="TableGrid">
    <w:name w:val="Table Grid"/>
    <w:basedOn w:val="TableNormal"/>
    <w:uiPriority w:val="59"/>
    <w:rsid w:val="0094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203"/>
    <w:rPr>
      <w:rFonts w:ascii="Arial" w:hAnsi="Arial"/>
      <w:sz w:val="24"/>
    </w:rPr>
  </w:style>
  <w:style w:type="paragraph" w:styleId="Footer">
    <w:name w:val="footer"/>
    <w:basedOn w:val="Normal"/>
    <w:link w:val="FooterChar"/>
    <w:uiPriority w:val="99"/>
    <w:unhideWhenUsed/>
    <w:rsid w:val="001B0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20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76"/>
    <w:rPr>
      <w:rFonts w:ascii="Arial" w:hAnsi="Arial"/>
      <w:sz w:val="24"/>
    </w:rPr>
  </w:style>
  <w:style w:type="paragraph" w:styleId="Heading1">
    <w:name w:val="heading 1"/>
    <w:basedOn w:val="Normal"/>
    <w:next w:val="Normal"/>
    <w:link w:val="Heading1Char"/>
    <w:uiPriority w:val="9"/>
    <w:qFormat/>
    <w:rsid w:val="009F29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19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334"/>
    <w:rPr>
      <w:rFonts w:ascii="Tahoma" w:hAnsi="Tahoma" w:cs="Tahoma"/>
      <w:sz w:val="16"/>
      <w:szCs w:val="16"/>
    </w:rPr>
  </w:style>
  <w:style w:type="character" w:customStyle="1" w:styleId="Heading1Char">
    <w:name w:val="Heading 1 Char"/>
    <w:basedOn w:val="DefaultParagraphFont"/>
    <w:link w:val="Heading1"/>
    <w:uiPriority w:val="9"/>
    <w:rsid w:val="009F293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F2936"/>
    <w:pPr>
      <w:outlineLvl w:val="9"/>
    </w:pPr>
    <w:rPr>
      <w:lang w:val="en-US" w:eastAsia="ja-JP"/>
    </w:rPr>
  </w:style>
  <w:style w:type="paragraph" w:styleId="TOC1">
    <w:name w:val="toc 1"/>
    <w:basedOn w:val="Normal"/>
    <w:next w:val="Normal"/>
    <w:autoRedefine/>
    <w:uiPriority w:val="39"/>
    <w:unhideWhenUsed/>
    <w:rsid w:val="009F2936"/>
    <w:pPr>
      <w:spacing w:after="100"/>
    </w:pPr>
  </w:style>
  <w:style w:type="character" w:styleId="Hyperlink">
    <w:name w:val="Hyperlink"/>
    <w:basedOn w:val="DefaultParagraphFont"/>
    <w:uiPriority w:val="99"/>
    <w:unhideWhenUsed/>
    <w:rsid w:val="009F2936"/>
    <w:rPr>
      <w:color w:val="0000FF" w:themeColor="hyperlink"/>
      <w:u w:val="single"/>
    </w:rPr>
  </w:style>
  <w:style w:type="character" w:customStyle="1" w:styleId="Heading2Char">
    <w:name w:val="Heading 2 Char"/>
    <w:basedOn w:val="DefaultParagraphFont"/>
    <w:link w:val="Heading2"/>
    <w:uiPriority w:val="9"/>
    <w:rsid w:val="005A1951"/>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semiHidden/>
    <w:unhideWhenUsed/>
    <w:rsid w:val="007777BF"/>
    <w:pPr>
      <w:spacing w:after="0" w:line="240" w:lineRule="auto"/>
      <w:ind w:left="600"/>
      <w:jc w:val="both"/>
    </w:pPr>
    <w:rPr>
      <w:rFonts w:ascii="Times New Roman" w:eastAsia="Times New Roman" w:hAnsi="Times New Roman" w:cs="Times New Roman"/>
      <w:szCs w:val="20"/>
      <w:lang w:eastAsia="en-GB"/>
    </w:rPr>
  </w:style>
  <w:style w:type="character" w:customStyle="1" w:styleId="BodyTextIndent2Char">
    <w:name w:val="Body Text Indent 2 Char"/>
    <w:basedOn w:val="DefaultParagraphFont"/>
    <w:link w:val="BodyTextIndent2"/>
    <w:semiHidden/>
    <w:rsid w:val="007777BF"/>
    <w:rPr>
      <w:rFonts w:ascii="Times New Roman" w:eastAsia="Times New Roman" w:hAnsi="Times New Roman" w:cs="Times New Roman"/>
      <w:sz w:val="24"/>
      <w:szCs w:val="20"/>
      <w:lang w:eastAsia="en-GB"/>
    </w:rPr>
  </w:style>
  <w:style w:type="paragraph" w:styleId="TOC2">
    <w:name w:val="toc 2"/>
    <w:basedOn w:val="Normal"/>
    <w:next w:val="Normal"/>
    <w:autoRedefine/>
    <w:uiPriority w:val="39"/>
    <w:unhideWhenUsed/>
    <w:rsid w:val="0041709E"/>
    <w:pPr>
      <w:spacing w:after="100"/>
      <w:ind w:left="220"/>
    </w:pPr>
  </w:style>
  <w:style w:type="paragraph" w:styleId="ListParagraph">
    <w:name w:val="List Paragraph"/>
    <w:basedOn w:val="Normal"/>
    <w:uiPriority w:val="34"/>
    <w:qFormat/>
    <w:rsid w:val="00AD1790"/>
    <w:pPr>
      <w:ind w:left="720"/>
      <w:contextualSpacing/>
    </w:pPr>
  </w:style>
  <w:style w:type="table" w:styleId="TableGrid">
    <w:name w:val="Table Grid"/>
    <w:basedOn w:val="TableNormal"/>
    <w:uiPriority w:val="59"/>
    <w:rsid w:val="0094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203"/>
    <w:rPr>
      <w:rFonts w:ascii="Arial" w:hAnsi="Arial"/>
      <w:sz w:val="24"/>
    </w:rPr>
  </w:style>
  <w:style w:type="paragraph" w:styleId="Footer">
    <w:name w:val="footer"/>
    <w:basedOn w:val="Normal"/>
    <w:link w:val="FooterChar"/>
    <w:uiPriority w:val="99"/>
    <w:unhideWhenUsed/>
    <w:rsid w:val="001B0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20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3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A36B-9B84-40D4-8436-45D880B7A02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5B9757D-4683-45C9-971B-027BBCC8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Tendring DC</Company>
  <LinksUpToDate>false</LinksUpToDate>
  <CharactersWithSpaces>18026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Andy White</cp:lastModifiedBy>
  <cp:revision>7</cp:revision>
  <dcterms:created xsi:type="dcterms:W3CDTF">2014-05-22T10:52:00Z</dcterms:created>
  <dcterms:modified xsi:type="dcterms:W3CDTF">2015-02-27T09:02:00Z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8f4dfa17-7740-4bf7-8b45-f2ccfe88e750</vt:lpwstr>
  </property>
  <property fmtid="{D5CDD505-2E9C-101B-9397-08002B2CF9AE}" pid="3" name="bjSaver">
    <vt:lpwstr>8Qnv2sHBPiU2xdr5yUT/QnS7od8XyjMV</vt:lpwstr>
  </property>
  <property fmtid="{D5CDD505-2E9C-101B-9397-08002B2CF9AE}" pid="4" name="bjDocumentLabelXML">
    <vt:lpwstr>&lt;?xml version="1.0" encoding="us-ascii"?&gt;&lt;sisl xmlns:xsi="http://www.w3.org/2001/XMLSchema-instance" xmlns:xsd="http://www.w3.org/2001/XMLSchema" sislVersion="0" policy="1b36a2e8-5d2d-4312-96da-671669d2c888" xmlns="http://www.boldonjames.com/2008/01/sie/i</vt:lpwstr>
  </property>
  <property fmtid="{D5CDD505-2E9C-101B-9397-08002B2CF9AE}" pid="5" name="bjDocumentLabelXML-0">
    <vt:lpwstr>nternal/label"&gt;&lt;element uid="id_classification_nonbusiness" value="" /&gt;&lt;/sisl&gt;</vt:lpwstr>
  </property>
  <property fmtid="{D5CDD505-2E9C-101B-9397-08002B2CF9AE}" pid="6" name="bjDocumentSecurityLabel">
    <vt:lpwstr>OFFICIAL</vt:lpwstr>
  </property>
  <property fmtid="{D5CDD505-2E9C-101B-9397-08002B2CF9AE}" pid="7" name="bjDocumentLabelFieldCode">
    <vt:lpwstr>OFFICIAL</vt:lpwstr>
  </property>
</Properties>
</file>